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59193188" w:displacedByCustomXml="next"/>
    <w:bookmarkStart w:id="1" w:name="_Toc455662122" w:displacedByCustomXml="next"/>
    <w:bookmarkStart w:id="2" w:name="_Toc455661676" w:displacedByCustomXml="next"/>
    <w:bookmarkStart w:id="3" w:name="_Toc455660325" w:displacedByCustomXml="next"/>
    <w:sdt>
      <w:sdtPr>
        <w:id w:val="-72429405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AE787B" w:rsidRDefault="00AE787B">
          <w:pPr>
            <w:pStyle w:val="Sisllysluettelonotsikko"/>
          </w:pPr>
          <w:r>
            <w:t>Sisällys</w:t>
          </w:r>
        </w:p>
        <w:p w:rsidR="001D5D0E" w:rsidRPr="001D5D0E" w:rsidRDefault="001D5D0E" w:rsidP="001D5D0E">
          <w:pPr>
            <w:rPr>
              <w:lang w:eastAsia="fi-FI"/>
            </w:rPr>
          </w:pPr>
        </w:p>
        <w:p w:rsidR="00AE787B" w:rsidRDefault="00AE787B">
          <w:pPr>
            <w:pStyle w:val="Sisluet2"/>
            <w:tabs>
              <w:tab w:val="right" w:leader="dot" w:pos="9628"/>
            </w:tabs>
            <w:rPr>
              <w:noProof/>
            </w:rPr>
          </w:pPr>
          <w:r>
            <w:fldChar w:fldCharType="begin"/>
          </w:r>
          <w:r>
            <w:instrText xml:space="preserve"> TOC \o "1-3" \h \z \u </w:instrText>
          </w:r>
          <w:r>
            <w:fldChar w:fldCharType="separate"/>
          </w:r>
          <w:hyperlink w:anchor="_Toc459638502" w:history="1">
            <w:r w:rsidRPr="00E5705F">
              <w:rPr>
                <w:rStyle w:val="Hyperlinkki"/>
                <w:rFonts w:ascii="Cambria" w:eastAsia="Cambria" w:hAnsi="Cambria" w:cs="Cambria"/>
                <w:b/>
                <w:noProof/>
                <w:lang w:eastAsia="fi-FI"/>
              </w:rPr>
              <w:t>LUKU 14 VUOSILUOKAT 3-6</w:t>
            </w:r>
            <w:r>
              <w:rPr>
                <w:noProof/>
                <w:webHidden/>
              </w:rPr>
              <w:tab/>
            </w:r>
            <w:r>
              <w:rPr>
                <w:noProof/>
                <w:webHidden/>
              </w:rPr>
              <w:fldChar w:fldCharType="begin"/>
            </w:r>
            <w:r>
              <w:rPr>
                <w:noProof/>
                <w:webHidden/>
              </w:rPr>
              <w:instrText xml:space="preserve"> PAGEREF _Toc459638502 \h </w:instrText>
            </w:r>
            <w:r>
              <w:rPr>
                <w:noProof/>
                <w:webHidden/>
              </w:rPr>
            </w:r>
            <w:r>
              <w:rPr>
                <w:noProof/>
                <w:webHidden/>
              </w:rPr>
              <w:fldChar w:fldCharType="separate"/>
            </w:r>
            <w:r w:rsidR="0061127C">
              <w:rPr>
                <w:noProof/>
                <w:webHidden/>
              </w:rPr>
              <w:t>1</w:t>
            </w:r>
            <w:r>
              <w:rPr>
                <w:noProof/>
                <w:webHidden/>
              </w:rPr>
              <w:fldChar w:fldCharType="end"/>
            </w:r>
          </w:hyperlink>
        </w:p>
        <w:p w:rsidR="00AE787B" w:rsidRDefault="00AE787B">
          <w:pPr>
            <w:pStyle w:val="Sisluet3"/>
            <w:tabs>
              <w:tab w:val="right" w:leader="dot" w:pos="9628"/>
            </w:tabs>
            <w:rPr>
              <w:noProof/>
            </w:rPr>
          </w:pPr>
          <w:hyperlink w:anchor="_Toc459638503" w:history="1">
            <w:r w:rsidRPr="00E5705F">
              <w:rPr>
                <w:rStyle w:val="Hyperlinkki"/>
                <w:rFonts w:ascii="Cambria" w:eastAsia="Cambria" w:hAnsi="Cambria" w:cs="Cambria"/>
                <w:b/>
                <w:noProof/>
                <w:lang w:eastAsia="fi-FI"/>
              </w:rPr>
              <w:t>14.1 Vuosiluokkien 2 ja 3 välinen siirtymävaihe ja vuosiluokkien 3-6 tehtävä</w:t>
            </w:r>
            <w:r>
              <w:rPr>
                <w:noProof/>
                <w:webHidden/>
              </w:rPr>
              <w:tab/>
            </w:r>
            <w:r>
              <w:rPr>
                <w:noProof/>
                <w:webHidden/>
              </w:rPr>
              <w:fldChar w:fldCharType="begin"/>
            </w:r>
            <w:r>
              <w:rPr>
                <w:noProof/>
                <w:webHidden/>
              </w:rPr>
              <w:instrText xml:space="preserve"> PAGEREF _Toc459638503 \h </w:instrText>
            </w:r>
            <w:r>
              <w:rPr>
                <w:noProof/>
                <w:webHidden/>
              </w:rPr>
            </w:r>
            <w:r>
              <w:rPr>
                <w:noProof/>
                <w:webHidden/>
              </w:rPr>
              <w:fldChar w:fldCharType="separate"/>
            </w:r>
            <w:r w:rsidR="0061127C">
              <w:rPr>
                <w:noProof/>
                <w:webHidden/>
              </w:rPr>
              <w:t>1</w:t>
            </w:r>
            <w:r>
              <w:rPr>
                <w:noProof/>
                <w:webHidden/>
              </w:rPr>
              <w:fldChar w:fldCharType="end"/>
            </w:r>
          </w:hyperlink>
        </w:p>
        <w:p w:rsidR="00AE787B" w:rsidRDefault="00AE787B">
          <w:pPr>
            <w:pStyle w:val="Sisluet3"/>
            <w:tabs>
              <w:tab w:val="right" w:leader="dot" w:pos="9628"/>
            </w:tabs>
            <w:rPr>
              <w:noProof/>
            </w:rPr>
          </w:pPr>
          <w:hyperlink w:anchor="_Toc459638504" w:history="1">
            <w:r w:rsidRPr="00E5705F">
              <w:rPr>
                <w:rStyle w:val="Hyperlinkki"/>
                <w:rFonts w:ascii="Cambria" w:eastAsia="Cambria" w:hAnsi="Cambria" w:cs="Cambria"/>
                <w:b/>
                <w:noProof/>
                <w:lang w:eastAsia="fi-FI"/>
              </w:rPr>
              <w:t>14.2 Laaja-alainen osaaminen vuosiluokilla 3-6</w:t>
            </w:r>
            <w:r>
              <w:rPr>
                <w:noProof/>
                <w:webHidden/>
              </w:rPr>
              <w:tab/>
            </w:r>
            <w:r>
              <w:rPr>
                <w:noProof/>
                <w:webHidden/>
              </w:rPr>
              <w:fldChar w:fldCharType="begin"/>
            </w:r>
            <w:r>
              <w:rPr>
                <w:noProof/>
                <w:webHidden/>
              </w:rPr>
              <w:instrText xml:space="preserve"> PAGEREF _Toc459638504 \h </w:instrText>
            </w:r>
            <w:r>
              <w:rPr>
                <w:noProof/>
                <w:webHidden/>
              </w:rPr>
            </w:r>
            <w:r>
              <w:rPr>
                <w:noProof/>
                <w:webHidden/>
              </w:rPr>
              <w:fldChar w:fldCharType="separate"/>
            </w:r>
            <w:r w:rsidR="0061127C">
              <w:rPr>
                <w:noProof/>
                <w:webHidden/>
              </w:rPr>
              <w:t>2</w:t>
            </w:r>
            <w:r>
              <w:rPr>
                <w:noProof/>
                <w:webHidden/>
              </w:rPr>
              <w:fldChar w:fldCharType="end"/>
            </w:r>
          </w:hyperlink>
        </w:p>
        <w:p w:rsidR="00AE787B" w:rsidRDefault="00AE787B">
          <w:pPr>
            <w:pStyle w:val="Sisluet3"/>
            <w:tabs>
              <w:tab w:val="right" w:leader="dot" w:pos="9628"/>
            </w:tabs>
            <w:rPr>
              <w:noProof/>
            </w:rPr>
          </w:pPr>
          <w:hyperlink w:anchor="_Toc459638505" w:history="1">
            <w:r w:rsidRPr="00E5705F">
              <w:rPr>
                <w:rStyle w:val="Hyperlinkki"/>
                <w:rFonts w:ascii="Cambria" w:eastAsia="Cambria" w:hAnsi="Cambria" w:cs="Cambria"/>
                <w:b/>
                <w:noProof/>
                <w:lang w:eastAsia="fi-FI"/>
              </w:rPr>
              <w:t>14.3. Paikallisesti päätetyt asiat</w:t>
            </w:r>
            <w:r>
              <w:rPr>
                <w:noProof/>
                <w:webHidden/>
              </w:rPr>
              <w:tab/>
            </w:r>
            <w:r>
              <w:rPr>
                <w:noProof/>
                <w:webHidden/>
              </w:rPr>
              <w:fldChar w:fldCharType="begin"/>
            </w:r>
            <w:r>
              <w:rPr>
                <w:noProof/>
                <w:webHidden/>
              </w:rPr>
              <w:instrText xml:space="preserve"> PAGEREF _Toc459638505 \h </w:instrText>
            </w:r>
            <w:r>
              <w:rPr>
                <w:noProof/>
                <w:webHidden/>
              </w:rPr>
            </w:r>
            <w:r>
              <w:rPr>
                <w:noProof/>
                <w:webHidden/>
              </w:rPr>
              <w:fldChar w:fldCharType="separate"/>
            </w:r>
            <w:r w:rsidR="0061127C">
              <w:rPr>
                <w:noProof/>
                <w:webHidden/>
              </w:rPr>
              <w:t>5</w:t>
            </w:r>
            <w:r>
              <w:rPr>
                <w:noProof/>
                <w:webHidden/>
              </w:rPr>
              <w:fldChar w:fldCharType="end"/>
            </w:r>
          </w:hyperlink>
        </w:p>
        <w:p w:rsidR="00AE787B" w:rsidRDefault="00AE787B">
          <w:pPr>
            <w:pStyle w:val="Sisluet3"/>
            <w:tabs>
              <w:tab w:val="right" w:leader="dot" w:pos="9628"/>
            </w:tabs>
            <w:rPr>
              <w:noProof/>
            </w:rPr>
          </w:pPr>
          <w:hyperlink w:anchor="_Toc459638506" w:history="1">
            <w:r w:rsidRPr="00E5705F">
              <w:rPr>
                <w:rStyle w:val="Hyperlinkki"/>
                <w:rFonts w:ascii="Cambria" w:eastAsia="Cambria" w:hAnsi="Cambria" w:cs="Cambria"/>
                <w:b/>
                <w:noProof/>
                <w:lang w:eastAsia="fi-FI"/>
              </w:rPr>
              <w:t>14.4 Oppiaineet vuosiluokilla 3-6</w:t>
            </w:r>
            <w:r>
              <w:rPr>
                <w:noProof/>
                <w:webHidden/>
              </w:rPr>
              <w:tab/>
            </w:r>
            <w:r>
              <w:rPr>
                <w:noProof/>
                <w:webHidden/>
              </w:rPr>
              <w:fldChar w:fldCharType="begin"/>
            </w:r>
            <w:r>
              <w:rPr>
                <w:noProof/>
                <w:webHidden/>
              </w:rPr>
              <w:instrText xml:space="preserve"> PAGEREF _Toc459638506 \h </w:instrText>
            </w:r>
            <w:r>
              <w:rPr>
                <w:noProof/>
                <w:webHidden/>
              </w:rPr>
            </w:r>
            <w:r>
              <w:rPr>
                <w:noProof/>
                <w:webHidden/>
              </w:rPr>
              <w:fldChar w:fldCharType="separate"/>
            </w:r>
            <w:r w:rsidR="0061127C">
              <w:rPr>
                <w:noProof/>
                <w:webHidden/>
              </w:rPr>
              <w:t>6</w:t>
            </w:r>
            <w:r>
              <w:rPr>
                <w:noProof/>
                <w:webHidden/>
              </w:rPr>
              <w:fldChar w:fldCharType="end"/>
            </w:r>
          </w:hyperlink>
        </w:p>
        <w:p w:rsidR="00AE787B" w:rsidRDefault="00AE787B">
          <w:r>
            <w:rPr>
              <w:b/>
              <w:bCs/>
            </w:rPr>
            <w:fldChar w:fldCharType="end"/>
          </w:r>
        </w:p>
      </w:sdtContent>
    </w:sdt>
    <w:p w:rsidR="00AE787B" w:rsidRPr="00DE7C10" w:rsidRDefault="00AE787B" w:rsidP="00AE787B">
      <w:pPr>
        <w:keepNext/>
        <w:keepLines/>
        <w:spacing w:before="200" w:after="0" w:line="276" w:lineRule="auto"/>
        <w:outlineLvl w:val="1"/>
        <w:rPr>
          <w:rFonts w:ascii="Cambria" w:eastAsia="Cambria" w:hAnsi="Cambria" w:cs="Cambria"/>
          <w:b/>
          <w:color w:val="76923C"/>
          <w:sz w:val="26"/>
          <w:szCs w:val="26"/>
          <w:lang w:eastAsia="fi-FI"/>
        </w:rPr>
      </w:pPr>
      <w:bookmarkStart w:id="4" w:name="_Toc459638502"/>
      <w:r w:rsidRPr="00DE7C10">
        <w:rPr>
          <w:rFonts w:ascii="Cambria" w:eastAsia="Cambria" w:hAnsi="Cambria" w:cs="Cambria"/>
          <w:b/>
          <w:color w:val="76923C"/>
          <w:sz w:val="26"/>
          <w:szCs w:val="26"/>
          <w:lang w:eastAsia="fi-FI"/>
        </w:rPr>
        <w:t>LUKU 14 VUOSILUOKAT 3-6</w:t>
      </w:r>
      <w:bookmarkEnd w:id="3"/>
      <w:bookmarkEnd w:id="2"/>
      <w:bookmarkEnd w:id="1"/>
      <w:bookmarkEnd w:id="0"/>
      <w:bookmarkEnd w:id="4"/>
    </w:p>
    <w:p w:rsidR="00AE787B" w:rsidRPr="00DE7C10" w:rsidRDefault="00AE787B" w:rsidP="00AE787B">
      <w:pPr>
        <w:keepNext/>
        <w:keepLines/>
        <w:spacing w:before="200" w:after="0" w:line="276" w:lineRule="auto"/>
        <w:outlineLvl w:val="2"/>
        <w:rPr>
          <w:rFonts w:ascii="Cambria" w:eastAsia="Cambria" w:hAnsi="Cambria" w:cs="Cambria"/>
          <w:b/>
          <w:color w:val="4F6228"/>
          <w:lang w:eastAsia="fi-FI"/>
        </w:rPr>
      </w:pPr>
      <w:bookmarkStart w:id="5" w:name="h.rjefff" w:colFirst="0" w:colLast="0"/>
      <w:bookmarkStart w:id="6" w:name="_Toc455660326"/>
      <w:bookmarkStart w:id="7" w:name="_Toc455661677"/>
      <w:bookmarkStart w:id="8" w:name="_Toc455662123"/>
      <w:bookmarkStart w:id="9" w:name="_Toc459193189"/>
      <w:bookmarkStart w:id="10" w:name="_Toc459638503"/>
      <w:bookmarkEnd w:id="5"/>
      <w:r w:rsidRPr="00DE7C10">
        <w:rPr>
          <w:rFonts w:ascii="Cambria" w:eastAsia="Cambria" w:hAnsi="Cambria" w:cs="Cambria"/>
          <w:b/>
          <w:color w:val="4F6228"/>
          <w:lang w:eastAsia="fi-FI"/>
        </w:rPr>
        <w:t>14.1 Vuosiluokkien 2 ja 3 välinen siirtymävaihe ja vuosiluokkien 3-6 tehtävä</w:t>
      </w:r>
      <w:bookmarkEnd w:id="6"/>
      <w:bookmarkEnd w:id="7"/>
      <w:bookmarkEnd w:id="8"/>
      <w:bookmarkEnd w:id="9"/>
      <w:bookmarkEnd w:id="10"/>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br/>
        <w:t>Perusopetuksen kullakin vuosiluokkakokonaisuudella on yhteisten tehtävien lisäksi oma erityinen tehtävänsä. Sen hoitaminen edellyttää oppilaiden ikäkauden ja kehitysvaiheen huomioonottamista sekä huolenpitoa oppilaiden sujuvista siirtymistä koulupolun nivelvaiheissa.</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Vuosiluokkien 2 ja 3 välinen siirtymävaihe</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Siirtymävaiheessa on tärkeä varmistaa opiskelun edellyttämien perustaitojen hallinta ja vahvistaa kunkin oppilaan itseluottamusta koululaisena. Oppilaita tuetaan erityisesti lukemisen, kirjoittamisen sekä matematiikan valmiuksissa ja opiskelutaidoissa. Myös itsenäisen ja ryhmässä työskentelyn taitojen kehittäminen sekä vastuullisuuteen oppiminen tulevat entistä tärkeämmiksi. Koulutyön onnistumista tuetaan yhdessä kotien kanssa. Oppilaille ja huoltajille annetaan tietoa koulun tarjoamasta kieliohjelmasta ja opintojen järjestelyistä, alkavista uusista oppiaineista sekä mahdollisista valinnaisista tai vapaaehtoisista opinnoista. Heidän kanssaan pohditaan opiskelun asettamia vaatimuksia ja mahdollisesti uuteen ryhmään liittymistä.</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Lain edellyttämä erityisen tuen päätöksen tarkistaminen tehdään ennen kolmannen vuosiluokan opintojen alkamista.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Vuosiluokat 3-6: Oppijana kehittyminen</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Vuosiluokkien 3-6 erityisenä tehtävänä on oppimaan oppimisen taitojen kehittäminen sekä omien opiskelutapojen ja -taitojen tunnistaminen ja kehittäminen. Oppilaita rohkaistaan itsensä hyväksymiseen, omien rajojen ja oikeuksien tunnistamiseen ja puolustamiseen sekä omasta turvallisuudesta huolehtimiseen. Heitä ohjataan myös velvollisuuksiensa ja vastuunsa ymmärtämiseen sekä rakentavaan mielipiteiden ilmaisuun ja vuorovaikutukseen. Minkäänlaista kiusaamista tai syrjivää käyttäytymistä ei sallita. Oppilaiden kiinnostusta eettisiin ja moraalisiin kysymyksiin hyödynnetään luomalla tilaisuuksia keskusteluun ja pohdintaan sekä osallistumisen ja vastuun ottamisen</w:t>
      </w:r>
      <w:r w:rsidRPr="00DE7C10">
        <w:rPr>
          <w:rFonts w:ascii="Calibri" w:eastAsia="Calibri" w:hAnsi="Calibri" w:cs="Calibri"/>
          <w:color w:val="FF0000"/>
          <w:lang w:eastAsia="fi-FI"/>
        </w:rPr>
        <w:t xml:space="preserve"> </w:t>
      </w:r>
      <w:r w:rsidRPr="00DE7C10">
        <w:rPr>
          <w:rFonts w:ascii="Calibri" w:eastAsia="Calibri" w:hAnsi="Calibri" w:cs="Calibri"/>
          <w:color w:val="000000"/>
          <w:lang w:eastAsia="fi-FI"/>
        </w:rPr>
        <w:t>harjoitteluun. Oppilaita kannustetaan tekemään valintoja omista lähtökohdistaan, sukupuolittuneita ratkaisuja välttäen. Erityistä huomiota kiinnitetään oppilaiden ohjauksen ja tuen tarpeisiin.</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Vuosiluokkien 3-6 opetuksessa vahvistetaan ja täydennetään alemmilla vuosiluokilla hankittuja perustaitoja ja opitaan uusia asioita. Oppiaineiden määrä kasvaa. Opetuksessa pyritään löytämään luontevia tilanteita </w:t>
      </w:r>
      <w:r w:rsidRPr="00DE7C10">
        <w:rPr>
          <w:rFonts w:ascii="Calibri" w:eastAsia="Calibri" w:hAnsi="Calibri" w:cs="Calibri"/>
          <w:color w:val="000000"/>
          <w:lang w:eastAsia="fi-FI"/>
        </w:rPr>
        <w:lastRenderedPageBreak/>
        <w:t xml:space="preserve">eheyttämiseen. Monialaisten oppimiskokonaisuuksien toteuttaminen vahvistaa oppiaineiden välistä yhteistyötä ja tarjoaa mahdollisuuksia oppilaiden ikäkaudelle tärkeiden kokemusten saamiseen. Oppimiskokonaisuuksilla voidaan lisätä työskentelyn </w:t>
      </w:r>
      <w:proofErr w:type="spellStart"/>
      <w:r w:rsidRPr="00DE7C10">
        <w:rPr>
          <w:rFonts w:ascii="Calibri" w:eastAsia="Calibri" w:hAnsi="Calibri" w:cs="Calibri"/>
          <w:color w:val="000000"/>
          <w:lang w:eastAsia="fi-FI"/>
        </w:rPr>
        <w:t>toiminnallisuutta</w:t>
      </w:r>
      <w:proofErr w:type="spellEnd"/>
      <w:r w:rsidRPr="00DE7C10">
        <w:rPr>
          <w:rFonts w:ascii="Calibri" w:eastAsia="Calibri" w:hAnsi="Calibri" w:cs="Calibri"/>
          <w:color w:val="000000"/>
          <w:lang w:eastAsia="fi-FI"/>
        </w:rPr>
        <w:t xml:space="preserve"> sekä tekemällä ja tutkimalla oppimista erilaisissa oppimisympäristöissä. Oppilaiden osuus suunnittelussa vahvistuu. Oppimiskokonaisuudet tarjoavat tilaisuuksia yhdessä tekemiseen, omaan ilmaisuun sekä yhteisön kannalta hyödylliseen toimintaan.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Vuosiluokkien 6 ja 7 välinen siirtymävaihe</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Siirtyminen kuudennelta seitsemännelle luokalle edellyttää koulun tai koulujen henkilöstön suunnitelmallista yhteistyötä, opetuksen kannalta tarpeellisen tiedon siirtämistä sekä oppimisympäristöjen, toimintatapojen ja ohjaavien asiakirjojen tuntemista. Kodin ja koulun välisen vuorovaikutuksen merkitys korostuu siirtymävaiheessa. Siirtymä tarkoittaa oppilaille usein uuteen ryhmään sopeutumista, uusiin opettajiin ja ympäristöön tutustumista sekä uusien työskentelytapojen ja arviointikäytäntöjen kohtaamista. Tällöin on tärkeää, että kotona ja koulussa huolehditaan oppilaiden mahdollisuudesta tuntea olonsa turvalliseksi samalla kun heitä rohkaistaan uusien asioiden kohtaamiseen. Vastuu omasta opiskelusta lisääntyy ja monet tulevaisuuteen vaikuttavat valinnat tulevat ajankohtaisiksi. Oppilaiden kuunteleminen ja arvostaminen sekä heidän osallisuutensa omista asioista ja valinnoista päättämiseen on tärkeää.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Lain edellyttämä erityisen tuen päätöksen tarkistaminen tehdään ennen seitsemännelle luokalle siirtymistä. </w:t>
      </w:r>
    </w:p>
    <w:p w:rsidR="00AE787B" w:rsidRPr="00DE7C10" w:rsidRDefault="00AE787B" w:rsidP="00AE787B">
      <w:pPr>
        <w:keepNext/>
        <w:keepLines/>
        <w:spacing w:before="200" w:after="0" w:line="276" w:lineRule="auto"/>
        <w:outlineLvl w:val="2"/>
        <w:rPr>
          <w:rFonts w:ascii="Cambria" w:eastAsia="Cambria" w:hAnsi="Cambria" w:cs="Cambria"/>
          <w:b/>
          <w:color w:val="4F6228"/>
          <w:lang w:eastAsia="fi-FI"/>
        </w:rPr>
      </w:pPr>
      <w:bookmarkStart w:id="11" w:name="h.3bj1y38" w:colFirst="0" w:colLast="0"/>
      <w:bookmarkStart w:id="12" w:name="_Toc455660327"/>
      <w:bookmarkStart w:id="13" w:name="_Toc455661678"/>
      <w:bookmarkStart w:id="14" w:name="_Toc455662124"/>
      <w:bookmarkStart w:id="15" w:name="_Toc459193190"/>
      <w:bookmarkStart w:id="16" w:name="_Toc459638504"/>
      <w:bookmarkEnd w:id="11"/>
      <w:r w:rsidRPr="00DE7C10">
        <w:rPr>
          <w:rFonts w:ascii="Cambria" w:eastAsia="Cambria" w:hAnsi="Cambria" w:cs="Cambria"/>
          <w:b/>
          <w:color w:val="4F6228"/>
          <w:lang w:eastAsia="fi-FI"/>
        </w:rPr>
        <w:t>14.2 Laaja-alainen osaaminen vuosiluokilla 3-6</w:t>
      </w:r>
      <w:bookmarkEnd w:id="12"/>
      <w:bookmarkEnd w:id="13"/>
      <w:bookmarkEnd w:id="14"/>
      <w:bookmarkEnd w:id="15"/>
      <w:bookmarkEnd w:id="16"/>
      <w:r w:rsidRPr="00DE7C10">
        <w:rPr>
          <w:rFonts w:ascii="Cambria" w:eastAsia="Cambria" w:hAnsi="Cambria" w:cs="Cambria"/>
          <w:b/>
          <w:color w:val="4F6228"/>
          <w:lang w:eastAsia="fi-FI"/>
        </w:rPr>
        <w:br/>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Laaja-alaisen osaamisen yleistavoitteet on määritelty luvussa 3. Tässä tuodaan esiin, mitkä tavoitenäkökulmat painottuvat vuosiluokilla 3-6.</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Laaja-alaisen osaamisen kehittämistä jatketaan systemaattisesti. Tavoitteena on, että oppilaan osaamisen kehittyminen vahvistaa edellytyksiä itsensä tuntemiseen ja arvostamiseen sekä oman identiteetin muotoutumiseen. Identiteetti rakentuu vuorovaikutuksessa toisten ihmisten ja ympäristön kanssa. Ystävyyden ja hyväksytyksi tulemisen merkitys on suuri. Ikävuodet ovat erityisen otollisia myös kestävän elämäntavan omaksumiselle ja kestävän kehityksen tarpeen pohtimiselle. </w:t>
      </w:r>
    </w:p>
    <w:p w:rsidR="00AE787B" w:rsidRPr="00DE7C10" w:rsidRDefault="00AE787B" w:rsidP="00AE787B">
      <w:pPr>
        <w:spacing w:after="200" w:line="276" w:lineRule="auto"/>
        <w:jc w:val="both"/>
        <w:rPr>
          <w:rFonts w:ascii="Calibri" w:eastAsia="Calibri" w:hAnsi="Calibri" w:cs="Calibri"/>
          <w:color w:val="000000"/>
          <w:lang w:eastAsia="fi-FI"/>
        </w:rPr>
      </w:pPr>
      <w:proofErr w:type="gramStart"/>
      <w:r w:rsidRPr="00DE7C10">
        <w:rPr>
          <w:rFonts w:ascii="Calibri" w:eastAsia="Calibri" w:hAnsi="Calibri" w:cs="Calibri"/>
          <w:i/>
          <w:color w:val="000000"/>
          <w:lang w:eastAsia="fi-FI"/>
        </w:rPr>
        <w:t>Ajattelu ja oppimaan oppiminen (L1)</w:t>
      </w:r>
      <w:proofErr w:type="gramEnd"/>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Opetuksessa vahvistetaan taitoa asettaa kysymyksiä ja hakea niihin vastauksia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huomaamaan asioiden välisiä vuorovaikutussuhteita ja keskinäisiä yhteyksiä. Heitä kannustetaan kuuntelemaan toisten näkemyksiä ja samalla pohtimaan myös omaa sisäistä tietoaan. Oppilaita ohjataan huomaamaan, että tieto voi rakentua monella tavalla, esimerkiksi tietoisesti päättelemällä tai intuitiivisesti, omaan kokemukseen perustuen. Vertaisoppimista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DE7C10">
        <w:rPr>
          <w:rFonts w:ascii="Calibri" w:eastAsia="Calibri" w:hAnsi="Calibri" w:cs="Calibri"/>
          <w:color w:val="000000"/>
          <w:lang w:eastAsia="fi-FI"/>
        </w:rPr>
        <w:t>toiminnallisuutta</w:t>
      </w:r>
      <w:proofErr w:type="spellEnd"/>
      <w:r w:rsidRPr="00DE7C10">
        <w:rPr>
          <w:rFonts w:ascii="Calibri" w:eastAsia="Calibri" w:hAnsi="Calibri" w:cs="Calibri"/>
          <w:color w:val="000000"/>
          <w:lang w:eastAsia="fi-FI"/>
        </w:rPr>
        <w:t xml:space="preserve"> hyödyntävin ja edistävin työskentelytavoin. Oppilaita rohkaistaan käyttämään kuvittelukykyään luoviin ratkaisuihin ja olemassa olevien rajojen ylittämiseen.</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Oppimaan oppimisen taitoja vahvistetaan kaikissa opiskelutilanteissa. Oppilaita ohjataan tunnistamaan itselle luontevimmat tavat oppia ja kiinnittämään huomiota omiin opiskelutapoihin. Työn suunnittelua, </w:t>
      </w:r>
      <w:r w:rsidRPr="00DE7C10">
        <w:rPr>
          <w:rFonts w:ascii="Calibri" w:eastAsia="Calibri" w:hAnsi="Calibri" w:cs="Calibri"/>
          <w:color w:val="000000"/>
          <w:lang w:eastAsia="fi-FI"/>
        </w:rPr>
        <w:lastRenderedPageBreak/>
        <w:t xml:space="preserve">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Kulttuurinen osaaminen, vuorovaikutus ja ilmaisu (L2)</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Oppilaita ohjataan tuntemaan ja arvostamaan sosiaalisia, kulttuurisia, uskonnollisia, katsomuksellisia ja kielellisiä juuriaan sekä pohtimaan oman taustansa merkitystä ja paikkaansa sukupolvien ketjussa. Koulutyössä tutustutaan kouluyhteisön ja kotiseudun kulttuuriin ennen ja nyt sekä kulttuuriympäristöön ja sen muutokseen ja moninaisuuteen.  Oppilaita ohjataan tuntemaan ja arvostamaan kulttuuriperintöä ja osallistumaan uuden kulttuurin luomiseen. Heille avataan mahdollisuuksia kokea ja tulkita taidetta ja kulttuuria. Mediakulttuurin analysointi ja median vaikutusten tunnistaminen ja pohdinta on näillä vuosiluokilla tärkeätä. Koulutyössä opitaan tuntemaan ihmisoikeuksia koskevien sopimusten merkitys yhteiskunnassa ja maailmassa; erityisesti perehdytään Lapsen oikeuksien sopimukseen. Oppilaita ohjataan ihmisoikeuksien kunnioittamiseen ja puolustamiseen.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Oppilaita kannustetaan kokeilemaan erilaisia ilmaisutapoja ja nauttimaan tekemisen ja ilmaisun ilosta. Heille järjestetään mahdollisuuksia kansainväliseen 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Itsestä huolehtiminen ja arjen taidot (L3)</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Koulutyössä oppilailla on tilaisuuksia harjoitella ajanhallintaa, hyvää käytöstä sekä muita omaan ja yhteiseen hyvinvointiin ja turvallisuuteen vaikuttavia toimintatapoja. Oppilaita kannustetaan ottamaan vastuuta oppimisympäristön siisteydestä, viihtyisyydestä ja ilmapiiristä sekä osallistumaan kouluyhteisön yhteisten sääntöjen laadintaan ja toimintatapojen kehittämiseen.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Opetuksessa tarkastellaan teknologian monimuotoisuutta ja merkitystä. Oppilaat hankkivat tietoa teknologian kehityksestä ja vaikutuksista eri elämänalueilla ja monenlaisissa ympäristöissä. Heitä opastetaan teknologian vastuulliseen ja turvalliseen käyttöön ja tarkastellaan siihen liittyviä eettisiä kysymyksiä. Oppilaat tutustuvat myös kestävän kuluttamisen käytäntöihin, tutkivat jakamisen, kohtuullisuuden ja säästäväisyyden sekä talouden suunnittelun merkitystä ja harjoittelevat niitä. He saavat ohjausta kuluttajana toimimiseen </w:t>
      </w:r>
      <w:r w:rsidRPr="00DE7C10">
        <w:rPr>
          <w:rFonts w:ascii="Calibri" w:eastAsia="Calibri" w:hAnsi="Calibri" w:cs="Calibri"/>
          <w:color w:val="000000"/>
          <w:lang w:eastAsia="fi-FI"/>
        </w:rPr>
        <w:lastRenderedPageBreak/>
        <w:t xml:space="preserve">sekä mainonnan ja median vaikutusten kriittiseen tarkasteluun. Oppilaita ohjataan pohtimaan omia valintojaan kestävän tulevaisuuden kannalta.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Monilukutaito (L4)</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Tieto- ja viestintäteknologinen osaaminen (L5)</w:t>
      </w: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Tieto- ja viestintäteknologiaa (</w:t>
      </w:r>
      <w:proofErr w:type="spellStart"/>
      <w:r w:rsidRPr="00DE7C10">
        <w:rPr>
          <w:rFonts w:ascii="Calibri" w:eastAsia="Calibri" w:hAnsi="Calibri" w:cs="Calibri"/>
          <w:color w:val="000000"/>
          <w:lang w:eastAsia="fi-FI"/>
        </w:rPr>
        <w:t>tvt</w:t>
      </w:r>
      <w:proofErr w:type="spellEnd"/>
      <w:r w:rsidRPr="00DE7C10">
        <w:rPr>
          <w:rFonts w:ascii="Calibri" w:eastAsia="Calibri" w:hAnsi="Calibri" w:cs="Calibri"/>
          <w:color w:val="000000"/>
          <w:lang w:eastAsia="fi-FI"/>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AE787B" w:rsidRPr="00DE7C10" w:rsidRDefault="00AE787B" w:rsidP="00AE787B">
      <w:pPr>
        <w:spacing w:after="0" w:line="276" w:lineRule="auto"/>
        <w:jc w:val="both"/>
        <w:rPr>
          <w:rFonts w:ascii="Calibri" w:eastAsia="Calibri" w:hAnsi="Calibri" w:cs="Calibri"/>
          <w:color w:val="000000"/>
          <w:lang w:eastAsia="fi-FI"/>
        </w:rPr>
      </w:pP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Käytännön taidot ja oma tuottaminen:</w:t>
      </w:r>
      <w:r w:rsidRPr="00DE7C10">
        <w:rPr>
          <w:rFonts w:ascii="Calibri" w:eastAsia="Calibri" w:hAnsi="Calibri" w:cs="Calibri"/>
          <w:color w:val="000000"/>
          <w:lang w:eastAsia="fi-FI"/>
        </w:rPr>
        <w:t xml:space="preserve"> Oppilaat oppivat käyttämään erilaisia laitteita, ohjelmistoja ja palveluita sekä ymmärtämään niiden käyttö- ja toimintalogiikkaa.</w:t>
      </w:r>
      <w:r w:rsidRPr="00DE7C10">
        <w:rPr>
          <w:rFonts w:ascii="Calibri" w:eastAsia="Calibri" w:hAnsi="Calibri" w:cs="Calibri"/>
          <w:i/>
          <w:color w:val="000000"/>
          <w:lang w:eastAsia="fi-FI"/>
        </w:rPr>
        <w:t xml:space="preserve"> </w:t>
      </w:r>
      <w:r w:rsidRPr="00DE7C10">
        <w:rPr>
          <w:rFonts w:ascii="Calibri" w:eastAsia="Calibri" w:hAnsi="Calibri" w:cs="Calibri"/>
          <w:color w:val="000000"/>
          <w:lang w:eastAsia="fi-FI"/>
        </w:rPr>
        <w:t xml:space="preserve">He harjaantuvat sujuvaan tekstin tuottamiseen ja käsittelyyn eri välineillä ja oppivat myös kuvan, äänen, videon ja animaation tekemistä. Oppilaita kannustetaan toteuttamaan </w:t>
      </w:r>
      <w:proofErr w:type="spellStart"/>
      <w:r w:rsidRPr="00DE7C10">
        <w:rPr>
          <w:rFonts w:ascii="Calibri" w:eastAsia="Calibri" w:hAnsi="Calibri" w:cs="Calibri"/>
          <w:color w:val="000000"/>
          <w:lang w:eastAsia="fi-FI"/>
        </w:rPr>
        <w:t>tvt:n</w:t>
      </w:r>
      <w:proofErr w:type="spellEnd"/>
      <w:r w:rsidRPr="00DE7C10">
        <w:rPr>
          <w:rFonts w:ascii="Calibri" w:eastAsia="Calibri" w:hAnsi="Calibri" w:cs="Calibri"/>
          <w:color w:val="000000"/>
          <w:lang w:eastAsia="fi-FI"/>
        </w:rPr>
        <w:t xml:space="preserve"> avulla ideoitaan yksin ja yhdessä toisten kanssa. Ohjelmointia kokeillessaan oppilaat saavat kokemuksia siitä, miten teknologian toiminta riippuu ihmisen tekemistä ratkaisuista. </w:t>
      </w:r>
      <w:r w:rsidRPr="00DE7C10">
        <w:rPr>
          <w:rFonts w:ascii="Calibri" w:eastAsia="Calibri" w:hAnsi="Calibri" w:cs="Calibri"/>
          <w:i/>
          <w:color w:val="000000"/>
          <w:lang w:eastAsia="fi-FI"/>
        </w:rPr>
        <w:t>Vastuullinen ja turvallinen toiminta:</w:t>
      </w:r>
      <w:r w:rsidRPr="00DE7C10">
        <w:rPr>
          <w:rFonts w:ascii="Calibri" w:eastAsia="Calibri" w:hAnsi="Calibri" w:cs="Calibri"/>
          <w:color w:val="000000"/>
          <w:lang w:eastAsia="fi-FI"/>
        </w:rPr>
        <w:t xml:space="preserve"> Oppilaita ohjataan </w:t>
      </w:r>
      <w:proofErr w:type="spellStart"/>
      <w:r w:rsidRPr="00DE7C10">
        <w:rPr>
          <w:rFonts w:ascii="Calibri" w:eastAsia="Calibri" w:hAnsi="Calibri" w:cs="Calibri"/>
          <w:color w:val="000000"/>
          <w:lang w:eastAsia="fi-FI"/>
        </w:rPr>
        <w:t>tvt:n</w:t>
      </w:r>
      <w:proofErr w:type="spellEnd"/>
      <w:r w:rsidRPr="00DE7C10">
        <w:rPr>
          <w:rFonts w:ascii="Calibri" w:eastAsia="Calibri" w:hAnsi="Calibri" w:cs="Calibri"/>
          <w:color w:val="000000"/>
          <w:lang w:eastAsia="fi-FI"/>
        </w:rPr>
        <w:t xml:space="preserve">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DE7C10">
        <w:rPr>
          <w:rFonts w:ascii="Calibri" w:eastAsia="Calibri" w:hAnsi="Calibri" w:cs="Calibri"/>
          <w:i/>
          <w:color w:val="000000"/>
          <w:lang w:eastAsia="fi-FI"/>
        </w:rPr>
        <w:t xml:space="preserve">Tiedonhallinta sekä tutkiva ja luova työskentely: </w:t>
      </w:r>
      <w:r w:rsidRPr="00DE7C10">
        <w:rPr>
          <w:rFonts w:ascii="Calibri" w:eastAsia="Calibri" w:hAnsi="Calibri" w:cs="Calibri"/>
          <w:color w:val="000000"/>
          <w:lang w:eastAsia="fi-FI"/>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DE7C10">
        <w:rPr>
          <w:rFonts w:ascii="Calibri" w:eastAsia="Calibri" w:hAnsi="Calibri" w:cs="Calibri"/>
          <w:color w:val="000000"/>
          <w:lang w:eastAsia="fi-FI"/>
        </w:rPr>
        <w:t>tvt:tä</w:t>
      </w:r>
      <w:proofErr w:type="spellEnd"/>
      <w:r w:rsidRPr="00DE7C10">
        <w:rPr>
          <w:rFonts w:ascii="Calibri" w:eastAsia="Calibri" w:hAnsi="Calibri" w:cs="Calibri"/>
          <w:color w:val="000000"/>
          <w:lang w:eastAsia="fi-FI"/>
        </w:rPr>
        <w:t xml:space="preserve"> työskentelyn ja tuotosten dokumentoinnissa ja arvioinnissa. </w:t>
      </w:r>
      <w:r w:rsidRPr="00DE7C10">
        <w:rPr>
          <w:rFonts w:ascii="Calibri" w:eastAsia="Calibri" w:hAnsi="Calibri" w:cs="Calibri"/>
          <w:i/>
          <w:color w:val="000000"/>
          <w:lang w:eastAsia="fi-FI"/>
        </w:rPr>
        <w:t>Vuorovaikutus ja verkostoituminen</w:t>
      </w:r>
      <w:r w:rsidRPr="00DE7C10">
        <w:rPr>
          <w:rFonts w:ascii="Calibri" w:eastAsia="Calibri" w:hAnsi="Calibri" w:cs="Calibri"/>
          <w:color w:val="000000"/>
          <w:lang w:eastAsia="fi-FI"/>
        </w:rPr>
        <w:t xml:space="preserve">: Oppilaita ohjataan toimimaan oman roolinsa ja välineen luonteen mukaisesti sekä ottamaan vastuuta viestinnästään. Heitä ohjataan tarkastelemaan ja arvioimaan </w:t>
      </w:r>
      <w:proofErr w:type="spellStart"/>
      <w:r w:rsidRPr="00DE7C10">
        <w:rPr>
          <w:rFonts w:ascii="Calibri" w:eastAsia="Calibri" w:hAnsi="Calibri" w:cs="Calibri"/>
          <w:color w:val="000000"/>
          <w:lang w:eastAsia="fi-FI"/>
        </w:rPr>
        <w:t>tvt:n</w:t>
      </w:r>
      <w:proofErr w:type="spellEnd"/>
      <w:r w:rsidRPr="00DE7C10">
        <w:rPr>
          <w:rFonts w:ascii="Calibri" w:eastAsia="Calibri" w:hAnsi="Calibri" w:cs="Calibri"/>
          <w:color w:val="000000"/>
          <w:lang w:eastAsia="fi-FI"/>
        </w:rPr>
        <w:t xml:space="preserve"> roolia </w:t>
      </w:r>
      <w:r w:rsidRPr="00DE7C10">
        <w:rPr>
          <w:rFonts w:ascii="Calibri" w:eastAsia="Calibri" w:hAnsi="Calibri" w:cs="Calibri"/>
          <w:color w:val="000000"/>
          <w:lang w:eastAsia="fi-FI"/>
        </w:rPr>
        <w:lastRenderedPageBreak/>
        <w:t xml:space="preserve">vaikuttamiskeinona.  Oppilaat saavat kokemuksia tieto- ja viestintäteknologian käyttämisestä vuorovaikutuksessa koulun ulkopuolisten toimijoiden kanssa myös kansainvälisissä yhteyksissä. </w:t>
      </w:r>
    </w:p>
    <w:p w:rsidR="00AE787B" w:rsidRPr="00DE7C10" w:rsidRDefault="00AE787B" w:rsidP="00AE787B">
      <w:pPr>
        <w:spacing w:after="0" w:line="276" w:lineRule="auto"/>
        <w:jc w:val="both"/>
        <w:rPr>
          <w:rFonts w:ascii="Calibri" w:eastAsia="Calibri" w:hAnsi="Calibri" w:cs="Calibri"/>
          <w:color w:val="000000"/>
          <w:lang w:eastAsia="fi-FI"/>
        </w:rPr>
      </w:pP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Työelämätaidot ja yrittäjyys (L6)</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 </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i/>
          <w:color w:val="000000"/>
          <w:lang w:eastAsia="fi-FI"/>
        </w:rPr>
        <w:t>Osallistuminen, vaikuttaminen ja kestävän tulevaisuuden rakentaminen (L7)</w:t>
      </w:r>
    </w:p>
    <w:p w:rsidR="00AE787B" w:rsidRPr="00DE7C10" w:rsidRDefault="00AE787B" w:rsidP="00AE787B">
      <w:pPr>
        <w:spacing w:after="20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AE787B" w:rsidRPr="00DE7C10" w:rsidRDefault="00AE787B" w:rsidP="00AE787B">
      <w:pPr>
        <w:spacing w:after="0" w:line="276" w:lineRule="auto"/>
        <w:jc w:val="both"/>
        <w:rPr>
          <w:rFonts w:ascii="Calibri" w:eastAsia="Calibri" w:hAnsi="Calibri" w:cs="Calibri"/>
          <w:color w:val="000000"/>
          <w:lang w:eastAsia="fi-FI"/>
        </w:rPr>
      </w:pPr>
      <w:bookmarkStart w:id="17" w:name="h.1qoc8b1" w:colFirst="0" w:colLast="0"/>
      <w:bookmarkEnd w:id="17"/>
      <w:r w:rsidRPr="00DE7C10">
        <w:rPr>
          <w:rFonts w:ascii="Calibri" w:eastAsia="Calibri" w:hAnsi="Calibri" w:cs="Calibri"/>
          <w:color w:val="000000"/>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p>
    <w:p w:rsidR="00AE787B" w:rsidRPr="00DE7C10" w:rsidRDefault="00AE787B" w:rsidP="00AE787B">
      <w:pPr>
        <w:spacing w:after="0" w:line="276" w:lineRule="auto"/>
        <w:jc w:val="both"/>
        <w:rPr>
          <w:rFonts w:ascii="Calibri" w:eastAsia="Calibri" w:hAnsi="Calibri" w:cs="Calibri"/>
          <w:color w:val="000000"/>
          <w:lang w:eastAsia="fi-FI"/>
        </w:rPr>
      </w:pPr>
    </w:p>
    <w:p w:rsidR="00AE787B" w:rsidRPr="00DE7C10" w:rsidRDefault="00AE787B" w:rsidP="00AE787B">
      <w:pPr>
        <w:keepNext/>
        <w:keepLines/>
        <w:spacing w:after="0" w:line="276" w:lineRule="auto"/>
        <w:outlineLvl w:val="2"/>
        <w:rPr>
          <w:rFonts w:ascii="Cambria" w:eastAsia="Cambria" w:hAnsi="Cambria" w:cs="Cambria"/>
          <w:b/>
          <w:color w:val="4F6228"/>
          <w:lang w:eastAsia="fi-FI"/>
        </w:rPr>
      </w:pPr>
      <w:bookmarkStart w:id="18" w:name="_Toc455660328"/>
      <w:bookmarkStart w:id="19" w:name="_Toc455661679"/>
      <w:bookmarkStart w:id="20" w:name="_Toc455662125"/>
      <w:bookmarkStart w:id="21" w:name="_Toc459193191"/>
      <w:bookmarkStart w:id="22" w:name="_Toc459638505"/>
      <w:r w:rsidRPr="00DE7C10">
        <w:rPr>
          <w:rFonts w:ascii="Cambria" w:eastAsia="Cambria" w:hAnsi="Cambria" w:cs="Cambria"/>
          <w:b/>
          <w:color w:val="4F6228"/>
          <w:lang w:eastAsia="fi-FI"/>
        </w:rPr>
        <w:t xml:space="preserve">14.3. </w:t>
      </w:r>
      <w:proofErr w:type="gramStart"/>
      <w:r w:rsidRPr="00DE7C10">
        <w:rPr>
          <w:rFonts w:ascii="Cambria" w:eastAsia="Cambria" w:hAnsi="Cambria" w:cs="Cambria"/>
          <w:b/>
          <w:color w:val="4F6228"/>
          <w:lang w:eastAsia="fi-FI"/>
        </w:rPr>
        <w:t>Paikallisesti päätetyt asiat</w:t>
      </w:r>
      <w:bookmarkEnd w:id="18"/>
      <w:bookmarkEnd w:id="19"/>
      <w:bookmarkEnd w:id="20"/>
      <w:bookmarkEnd w:id="21"/>
      <w:bookmarkEnd w:id="22"/>
      <w:proofErr w:type="gramEnd"/>
    </w:p>
    <w:p w:rsidR="00AE787B" w:rsidRPr="00DE7C10" w:rsidRDefault="00AE787B" w:rsidP="00AE787B">
      <w:pPr>
        <w:spacing w:after="0" w:line="276" w:lineRule="auto"/>
        <w:jc w:val="both"/>
        <w:rPr>
          <w:rFonts w:ascii="Calibri" w:eastAsia="Calibri" w:hAnsi="Calibri" w:cs="Calibri"/>
          <w:color w:val="000000"/>
          <w:lang w:eastAsia="fi-FI"/>
        </w:rPr>
      </w:pPr>
    </w:p>
    <w:p w:rsidR="00AE787B" w:rsidRPr="00DE7C10" w:rsidRDefault="00AE787B" w:rsidP="00AE787B">
      <w:pPr>
        <w:spacing w:after="0" w:line="276" w:lineRule="auto"/>
        <w:jc w:val="both"/>
        <w:rPr>
          <w:rFonts w:ascii="Calibri" w:eastAsia="Calibri" w:hAnsi="Calibri" w:cs="Calibri"/>
          <w:color w:val="000000" w:themeColor="text1"/>
          <w:lang w:eastAsia="fi-FI"/>
        </w:rPr>
      </w:pPr>
      <w:bookmarkStart w:id="23" w:name="h.2pta16n" w:colFirst="0" w:colLast="0"/>
      <w:bookmarkEnd w:id="23"/>
      <w:r w:rsidRPr="00DE7C10">
        <w:rPr>
          <w:rFonts w:ascii="Calibri" w:eastAsia="Calibri" w:hAnsi="Calibri" w:cs="Calibri"/>
          <w:color w:val="000000"/>
          <w:lang w:eastAsia="fi-FI"/>
        </w:rPr>
        <w:t xml:space="preserve">Sallan kunnan opetussuunnitelmassa oppilaiden siirtymisen toimintatavat, yhteistyö, työnjako ja vastuut esiopetuksesta perusopetukseen sekä toiselta kolmannelle vuosiluokalle on kuvattu ohjaussuunnitelmassa </w:t>
      </w:r>
      <w:r w:rsidRPr="00DE7C10">
        <w:rPr>
          <w:rFonts w:ascii="Calibri" w:eastAsia="Calibri" w:hAnsi="Calibri" w:cs="Calibri"/>
          <w:color w:val="2E74B5" w:themeColor="accent1" w:themeShade="BF"/>
          <w:lang w:eastAsia="fi-FI"/>
        </w:rPr>
        <w:t>(liite 5).</w:t>
      </w: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Sallan kunnan perusopetuksessa ei ole erityispiirteitä ja tehtäviä eikä niihin liittyviä painotuksia vaan opetus toteutetaan perusteiden mukaisesti. Laaja-alaisen osaamisen tavoitteita toteutetaan perusteiden mukaisesti eikä paikallisia painotuksia ole. Oppilaita tuetaan laaja-alaisten taitojen kehittymisessä jokaisessa oppiaineessa ja koulun yhteisessä toiminnassa.</w:t>
      </w: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lastRenderedPageBreak/>
        <w:t>Oppiaineiden tavoitteet, sisällöt ja arviointi on kuvattu oppiainekohtaisesti luvuissa 14.4.1–14.4.14. Oppimisympäristöjen, työtapojen ja ohjauksen sekä eriyttämisen ja tuen noudattamisessa toimitaan perusteiden mukaisesti. Oppilaanohjausta (luku 14.4.14) täydentää lisäksi ohjaussuunnitelma.</w:t>
      </w:r>
    </w:p>
    <w:p w:rsidR="00AE787B" w:rsidRPr="00DE7C10" w:rsidRDefault="00AE787B" w:rsidP="00AE787B">
      <w:pPr>
        <w:keepNext/>
        <w:keepLines/>
        <w:spacing w:after="0" w:line="276" w:lineRule="auto"/>
        <w:rPr>
          <w:rFonts w:ascii="Calibri" w:eastAsia="Calibri" w:hAnsi="Calibri" w:cs="Calibri"/>
          <w:color w:val="000000"/>
          <w:lang w:eastAsia="fi-FI"/>
        </w:rPr>
      </w:pPr>
    </w:p>
    <w:p w:rsidR="00AE787B" w:rsidRPr="00DE7C10" w:rsidRDefault="00AE787B" w:rsidP="00AE787B">
      <w:pPr>
        <w:keepNext/>
        <w:keepLines/>
        <w:spacing w:after="0" w:line="276" w:lineRule="auto"/>
        <w:outlineLvl w:val="2"/>
        <w:rPr>
          <w:rFonts w:ascii="Cambria" w:eastAsia="Cambria" w:hAnsi="Cambria" w:cs="Cambria"/>
          <w:b/>
          <w:color w:val="4F6228"/>
          <w:lang w:eastAsia="fi-FI"/>
        </w:rPr>
      </w:pPr>
      <w:bookmarkStart w:id="24" w:name="_Toc455660329"/>
      <w:bookmarkStart w:id="25" w:name="_Toc455661680"/>
      <w:bookmarkStart w:id="26" w:name="_Toc455662126"/>
      <w:bookmarkStart w:id="27" w:name="_Toc459193192"/>
      <w:bookmarkStart w:id="28" w:name="_Toc459638506"/>
      <w:r w:rsidRPr="00DE7C10">
        <w:rPr>
          <w:rFonts w:ascii="Cambria" w:eastAsia="Cambria" w:hAnsi="Cambria" w:cs="Cambria"/>
          <w:b/>
          <w:color w:val="4F6228"/>
          <w:lang w:eastAsia="fi-FI"/>
        </w:rPr>
        <w:t>14.4 Oppiaineet vuosiluokilla 3-6</w:t>
      </w:r>
      <w:bookmarkEnd w:id="24"/>
      <w:bookmarkEnd w:id="25"/>
      <w:bookmarkEnd w:id="26"/>
      <w:bookmarkEnd w:id="27"/>
      <w:bookmarkEnd w:id="28"/>
    </w:p>
    <w:p w:rsidR="00AE787B" w:rsidRPr="00DE7C10" w:rsidRDefault="00AE787B" w:rsidP="00AE787B">
      <w:pPr>
        <w:spacing w:after="0" w:line="276" w:lineRule="auto"/>
        <w:rPr>
          <w:rFonts w:ascii="Calibri" w:eastAsia="Calibri" w:hAnsi="Calibri" w:cs="Calibri"/>
          <w:color w:val="000000"/>
          <w:lang w:eastAsia="fi-FI"/>
        </w:rPr>
      </w:pP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Näissä opetussuunnitelman perusteissa oppiaineista määritellään tehtävä, tavoitteet ja tavoitteisiin liittyvät keskeiset sisältöalueet. Lisäksi määritellään tavoitteet, jotka koskevat oppimisympäristöihin ja työtapoihin sekä ohjaukseen, eriyttämiseen ja tukeen ja oppimisen arviointiin liittyviä erityisiä näkökulmia kussakin oppiaineessa.</w:t>
      </w: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Oppiaineosuuksissa käytetään lyhenteitä. Tavoitteet on numeroitu T1, T2 jne. Tavoitteisiin liittyvät sisältöalueet on numeroitu S1, S2 jne. ja niihin viitataan tavoitetaulukoissa. Laaja-alaiset osaamisalueet on numeroitu L1, L2 jne. ja niihin viitataan oppiaineiden tavoitetaulukoissa.</w:t>
      </w:r>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proofErr w:type="gramStart"/>
      <w:r w:rsidRPr="00DE7C10">
        <w:rPr>
          <w:rFonts w:ascii="Calibri" w:eastAsia="Calibri" w:hAnsi="Calibri" w:cs="Calibri"/>
          <w:color w:val="000000"/>
          <w:lang w:eastAsia="fi-FI"/>
        </w:rPr>
        <w:t xml:space="preserve">L1 </w:t>
      </w:r>
      <w:r w:rsidRPr="00DE7C10">
        <w:rPr>
          <w:rFonts w:ascii="Calibri" w:eastAsia="Calibri" w:hAnsi="Calibri" w:cs="Calibri"/>
          <w:color w:val="000000"/>
          <w:lang w:eastAsia="fi-FI"/>
        </w:rPr>
        <w:tab/>
        <w:t>Ajattelu ja oppimaan oppiminen</w:t>
      </w:r>
      <w:proofErr w:type="gramEnd"/>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L2</w:t>
      </w:r>
      <w:r w:rsidRPr="00DE7C10">
        <w:rPr>
          <w:rFonts w:ascii="Calibri" w:eastAsia="Calibri" w:hAnsi="Calibri" w:cs="Calibri"/>
          <w:color w:val="000000"/>
          <w:lang w:eastAsia="fi-FI"/>
        </w:rPr>
        <w:tab/>
        <w:t>Kulttuurinen osaaminen, vuorovaikutus ja ilmaisu</w:t>
      </w:r>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L3 </w:t>
      </w:r>
      <w:r w:rsidRPr="00DE7C10">
        <w:rPr>
          <w:rFonts w:ascii="Calibri" w:eastAsia="Calibri" w:hAnsi="Calibri" w:cs="Calibri"/>
          <w:color w:val="000000"/>
          <w:lang w:eastAsia="fi-FI"/>
        </w:rPr>
        <w:tab/>
        <w:t>Itsestä huolehtiminen ja arjen taidot</w:t>
      </w:r>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L4 </w:t>
      </w:r>
      <w:r w:rsidRPr="00DE7C10">
        <w:rPr>
          <w:rFonts w:ascii="Calibri" w:eastAsia="Calibri" w:hAnsi="Calibri" w:cs="Calibri"/>
          <w:color w:val="000000"/>
          <w:lang w:eastAsia="fi-FI"/>
        </w:rPr>
        <w:tab/>
        <w:t xml:space="preserve">Monilukutaito  </w:t>
      </w:r>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L5 </w:t>
      </w:r>
      <w:r w:rsidRPr="00DE7C10">
        <w:rPr>
          <w:rFonts w:ascii="Calibri" w:eastAsia="Calibri" w:hAnsi="Calibri" w:cs="Calibri"/>
          <w:color w:val="000000"/>
          <w:lang w:eastAsia="fi-FI"/>
        </w:rPr>
        <w:tab/>
        <w:t xml:space="preserve">Tieto- ja viestintäteknologinen osaaminen </w:t>
      </w:r>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L6 </w:t>
      </w:r>
      <w:r w:rsidRPr="00DE7C10">
        <w:rPr>
          <w:rFonts w:ascii="Calibri" w:eastAsia="Calibri" w:hAnsi="Calibri" w:cs="Calibri"/>
          <w:color w:val="000000"/>
          <w:lang w:eastAsia="fi-FI"/>
        </w:rPr>
        <w:tab/>
        <w:t xml:space="preserve">Työelämätaidot ja yrittäjyys </w:t>
      </w:r>
    </w:p>
    <w:p w:rsidR="00AE787B" w:rsidRPr="00DE7C10" w:rsidRDefault="00AE787B" w:rsidP="00AE787B">
      <w:pPr>
        <w:tabs>
          <w:tab w:val="left" w:pos="284"/>
        </w:tabs>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 xml:space="preserve">L7 </w:t>
      </w:r>
      <w:r w:rsidRPr="00DE7C10">
        <w:rPr>
          <w:rFonts w:ascii="Calibri" w:eastAsia="Calibri" w:hAnsi="Calibri" w:cs="Calibri"/>
          <w:color w:val="000000"/>
          <w:lang w:eastAsia="fi-FI"/>
        </w:rPr>
        <w:tab/>
        <w:t>Osallistuminen, vaikuttaminen ja kestävän tulevaisuuden rakentaminen</w:t>
      </w:r>
    </w:p>
    <w:p w:rsidR="00AE787B" w:rsidRPr="00DE7C10" w:rsidRDefault="00AE787B" w:rsidP="00AE787B">
      <w:pPr>
        <w:spacing w:after="0" w:line="276" w:lineRule="auto"/>
        <w:rPr>
          <w:rFonts w:ascii="Calibri" w:eastAsia="Calibri" w:hAnsi="Calibri" w:cs="Calibri"/>
          <w:color w:val="000000"/>
          <w:lang w:eastAsia="fi-FI"/>
        </w:rPr>
      </w:pPr>
      <w:bookmarkStart w:id="29" w:name="h.3oy7u29" w:colFirst="0" w:colLast="0"/>
      <w:bookmarkEnd w:id="29"/>
      <w:r w:rsidRPr="00DE7C10">
        <w:rPr>
          <w:rFonts w:ascii="Calibri" w:eastAsia="Calibri" w:hAnsi="Calibri" w:cs="Calibri"/>
          <w:b/>
          <w:color w:val="000000"/>
          <w:lang w:eastAsia="fi-FI"/>
        </w:rPr>
        <w:br/>
      </w:r>
      <w:r w:rsidRPr="00DE7C10">
        <w:rPr>
          <w:rFonts w:ascii="Calibri" w:eastAsia="Calibri" w:hAnsi="Calibri" w:cs="Calibri"/>
          <w:color w:val="76923C"/>
          <w:lang w:eastAsia="fi-FI"/>
        </w:rPr>
        <w:t>ÄIDINKIELEN JA KIRJALLISUUDEN ERI OPPIMÄÄRIEN JA TOISEN KOTIMAISEN KIELEN OPISKELU</w:t>
      </w: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br/>
        <w:t xml:space="preserve">Äidinkieli ja kirjallisuus -oppiaineeseen on näissä opetussuunnitelman perusteissa määritelty kaksitoista eri oppimäärää, jotka ovat seuraavat: suomen kieli ja kirjallisuus, ruotsin kieli ja kirjallisuus, saamen kieli ja kirjallisuus, romanikieli ja kirjallisuus, viittomakieli ja kirjallisuus, muu oppilaan äidinkieli, suomi ja ruotsi toisena kielenä ja kirjallisuus, suomi ja ruotsi saamenkielisille sekä suomi ja ruotsi viittomakielisille. Muuna oppilaan äidinkielenä on mahdollista opettaa opetuksen järjestäjän tarjoamana ja huoltajan valitsemana jotakin edellä mainitsematonta äidinkieltä koko äidinkielen ja kirjallisuuden tuntimäärällä tai valtioneuvoston asetuksen 422/2012 8 §:n mukaisesti järjestettynä. Lisäksi erillisrahoitettuna voidaan tarjota oppilaan omaa äidinkieltä. Toisessa kotimaisessa kielessä on ruotsin ja suomen kielessä määritelty A- ja B-oppimäärät sekä kaksikielisille oppilaille tarkoitetut äidinkielenomaiset oppimäärät. </w:t>
      </w:r>
    </w:p>
    <w:p w:rsidR="00AE787B" w:rsidRPr="00DE7C10" w:rsidRDefault="00AE787B" w:rsidP="00AE787B">
      <w:pPr>
        <w:spacing w:after="0" w:line="276" w:lineRule="auto"/>
        <w:jc w:val="both"/>
        <w:rPr>
          <w:rFonts w:ascii="Calibri" w:eastAsia="Calibri" w:hAnsi="Calibri" w:cs="Calibri"/>
          <w:color w:val="000000"/>
          <w:lang w:eastAsia="fi-FI"/>
        </w:rPr>
      </w:pPr>
      <w:r w:rsidRPr="00DE7C10">
        <w:rPr>
          <w:rFonts w:ascii="Calibri" w:eastAsia="Calibri" w:hAnsi="Calibri" w:cs="Calibri"/>
          <w:color w:val="000000"/>
          <w:lang w:eastAsia="fi-FI"/>
        </w:rPr>
        <w:t>Oppilas opiskelee äidinkieli ja kirjallisuus -oppiaineessa ja toisessa kotimaisessa kielessä seuraavassa taulukossa mainittuja oppimääriä sen mukaan kuin opetuksen järjestäjä tarjoaa ja oppilaan huoltaja valitsee. Taulukossa oppilaan äidinkielellä tarkoitetaan koulun opetuskieltä (suomi, ruotsi ja saame) tai muuta huoltajan ilmoittamaa kieltä.</w:t>
      </w:r>
    </w:p>
    <w:p w:rsidR="00AE787B" w:rsidRDefault="00AE787B" w:rsidP="00AE787B">
      <w:pPr>
        <w:spacing w:after="200" w:line="276" w:lineRule="auto"/>
        <w:jc w:val="both"/>
        <w:rPr>
          <w:rFonts w:ascii="Calibri" w:eastAsia="Calibri" w:hAnsi="Calibri" w:cs="Calibri"/>
          <w:color w:val="000000"/>
          <w:lang w:eastAsia="fi-FI"/>
        </w:rPr>
      </w:pPr>
    </w:p>
    <w:p w:rsidR="001D5D0E" w:rsidRDefault="001D5D0E" w:rsidP="00AE787B">
      <w:pPr>
        <w:spacing w:after="200" w:line="276" w:lineRule="auto"/>
        <w:jc w:val="both"/>
        <w:rPr>
          <w:rFonts w:ascii="Calibri" w:eastAsia="Calibri" w:hAnsi="Calibri" w:cs="Calibri"/>
          <w:color w:val="000000"/>
          <w:lang w:eastAsia="fi-FI"/>
        </w:rPr>
      </w:pPr>
    </w:p>
    <w:p w:rsidR="001D5D0E" w:rsidRDefault="001D5D0E" w:rsidP="00AE787B">
      <w:pPr>
        <w:spacing w:after="200" w:line="276" w:lineRule="auto"/>
        <w:jc w:val="both"/>
        <w:rPr>
          <w:rFonts w:ascii="Calibri" w:eastAsia="Calibri" w:hAnsi="Calibri" w:cs="Calibri"/>
          <w:color w:val="000000"/>
          <w:lang w:eastAsia="fi-FI"/>
        </w:rPr>
      </w:pPr>
    </w:p>
    <w:p w:rsidR="001D5D0E" w:rsidRDefault="001D5D0E" w:rsidP="00AE787B">
      <w:pPr>
        <w:spacing w:after="200" w:line="276" w:lineRule="auto"/>
        <w:jc w:val="both"/>
        <w:rPr>
          <w:rFonts w:ascii="Calibri" w:eastAsia="Calibri" w:hAnsi="Calibri" w:cs="Calibri"/>
          <w:color w:val="000000"/>
          <w:lang w:eastAsia="fi-FI"/>
        </w:rPr>
      </w:pPr>
    </w:p>
    <w:p w:rsidR="001D5D0E" w:rsidRDefault="001D5D0E" w:rsidP="00AE787B">
      <w:pPr>
        <w:spacing w:after="200" w:line="276" w:lineRule="auto"/>
        <w:jc w:val="both"/>
        <w:rPr>
          <w:rFonts w:ascii="Calibri" w:eastAsia="Calibri" w:hAnsi="Calibri" w:cs="Calibri"/>
          <w:color w:val="000000"/>
          <w:lang w:eastAsia="fi-FI"/>
        </w:rPr>
      </w:pPr>
    </w:p>
    <w:p w:rsidR="001D5D0E" w:rsidRPr="00DE7C10" w:rsidRDefault="001D5D0E" w:rsidP="00AE787B">
      <w:pPr>
        <w:spacing w:after="200" w:line="276" w:lineRule="auto"/>
        <w:jc w:val="both"/>
        <w:rPr>
          <w:rFonts w:ascii="Calibri" w:eastAsia="Calibri" w:hAnsi="Calibri" w:cs="Calibri"/>
          <w:color w:val="000000"/>
          <w:lang w:eastAsia="fi-FI"/>
        </w:rPr>
      </w:pPr>
      <w:bookmarkStart w:id="30" w:name="_GoBack"/>
      <w:bookmarkEnd w:id="30"/>
    </w:p>
    <w:tbl>
      <w:tblPr>
        <w:tblW w:w="10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245"/>
        <w:gridCol w:w="1418"/>
        <w:gridCol w:w="1731"/>
      </w:tblGrid>
      <w:tr w:rsidR="00AE787B" w:rsidRPr="00DE7C10" w:rsidTr="0008084B">
        <w:trPr>
          <w:trHeight w:val="280"/>
        </w:trPr>
        <w:tc>
          <w:tcPr>
            <w:tcW w:w="1696" w:type="dxa"/>
            <w:shd w:val="clear" w:color="auto" w:fill="C2D69B"/>
            <w:vAlign w:val="center"/>
          </w:tcPr>
          <w:p w:rsidR="00AE787B" w:rsidRPr="00DE7C10" w:rsidRDefault="00AE787B" w:rsidP="0008084B">
            <w:pPr>
              <w:spacing w:after="0" w:line="240" w:lineRule="auto"/>
              <w:rPr>
                <w:rFonts w:ascii="Calibri" w:eastAsia="Calibri" w:hAnsi="Calibri" w:cs="Calibri"/>
                <w:b/>
                <w:color w:val="000000"/>
                <w:sz w:val="24"/>
                <w:szCs w:val="24"/>
                <w:lang w:eastAsia="fi-FI"/>
              </w:rPr>
            </w:pPr>
            <w:r w:rsidRPr="00DE7C10">
              <w:rPr>
                <w:rFonts w:ascii="Calibri" w:eastAsia="Calibri" w:hAnsi="Calibri" w:cs="Calibri"/>
                <w:b/>
                <w:color w:val="000000"/>
                <w:sz w:val="24"/>
                <w:szCs w:val="24"/>
                <w:lang w:eastAsia="fi-FI"/>
              </w:rPr>
              <w:t xml:space="preserve">Oppilaan </w:t>
            </w:r>
          </w:p>
          <w:p w:rsidR="00AE787B" w:rsidRPr="00DE7C10" w:rsidRDefault="00AE787B" w:rsidP="0008084B">
            <w:pPr>
              <w:spacing w:after="0" w:line="240" w:lineRule="auto"/>
              <w:rPr>
                <w:rFonts w:ascii="Calibri" w:eastAsia="Calibri" w:hAnsi="Calibri" w:cs="Calibri"/>
                <w:color w:val="000000"/>
                <w:lang w:eastAsia="fi-FI"/>
              </w:rPr>
            </w:pPr>
            <w:r w:rsidRPr="00DE7C10">
              <w:rPr>
                <w:rFonts w:ascii="Calibri" w:eastAsia="Calibri" w:hAnsi="Calibri" w:cs="Calibri"/>
                <w:b/>
                <w:color w:val="000000"/>
                <w:sz w:val="24"/>
                <w:szCs w:val="24"/>
                <w:lang w:eastAsia="fi-FI"/>
              </w:rPr>
              <w:t>äidinkieli</w:t>
            </w:r>
          </w:p>
        </w:tc>
        <w:tc>
          <w:tcPr>
            <w:tcW w:w="5245" w:type="dxa"/>
            <w:shd w:val="clear" w:color="auto" w:fill="C2D69B"/>
            <w:vAlign w:val="center"/>
          </w:tcPr>
          <w:p w:rsidR="00AE787B" w:rsidRPr="00DE7C10" w:rsidRDefault="00AE787B" w:rsidP="0008084B">
            <w:pPr>
              <w:spacing w:after="0" w:line="240" w:lineRule="auto"/>
              <w:rPr>
                <w:rFonts w:ascii="Calibri" w:eastAsia="Calibri" w:hAnsi="Calibri" w:cs="Calibri"/>
                <w:color w:val="000000"/>
                <w:lang w:eastAsia="fi-FI"/>
              </w:rPr>
            </w:pPr>
            <w:r w:rsidRPr="00DE7C10">
              <w:rPr>
                <w:rFonts w:ascii="Calibri" w:eastAsia="Calibri" w:hAnsi="Calibri" w:cs="Calibri"/>
                <w:b/>
                <w:color w:val="000000"/>
                <w:sz w:val="24"/>
                <w:szCs w:val="24"/>
                <w:lang w:eastAsia="fi-FI"/>
              </w:rPr>
              <w:t>Äidinkielen ja kirjallisuuden oppimäärä</w:t>
            </w:r>
          </w:p>
        </w:tc>
        <w:tc>
          <w:tcPr>
            <w:tcW w:w="3149" w:type="dxa"/>
            <w:gridSpan w:val="2"/>
            <w:shd w:val="clear" w:color="auto" w:fill="C2D69B"/>
            <w:vAlign w:val="center"/>
          </w:tcPr>
          <w:p w:rsidR="00AE787B" w:rsidRPr="00DE7C10" w:rsidRDefault="00AE787B" w:rsidP="0008084B">
            <w:pPr>
              <w:spacing w:after="0" w:line="240" w:lineRule="auto"/>
              <w:rPr>
                <w:rFonts w:ascii="Calibri" w:eastAsia="Calibri" w:hAnsi="Calibri" w:cs="Calibri"/>
                <w:color w:val="000000"/>
                <w:lang w:eastAsia="fi-FI"/>
              </w:rPr>
            </w:pPr>
            <w:r w:rsidRPr="00DE7C10">
              <w:rPr>
                <w:rFonts w:ascii="Calibri" w:eastAsia="Calibri" w:hAnsi="Calibri" w:cs="Calibri"/>
                <w:b/>
                <w:color w:val="000000"/>
                <w:sz w:val="24"/>
                <w:szCs w:val="24"/>
                <w:lang w:eastAsia="fi-FI"/>
              </w:rPr>
              <w:t>Toinen kotimainen kieli</w:t>
            </w:r>
          </w:p>
        </w:tc>
      </w:tr>
      <w:tr w:rsidR="00AE787B" w:rsidRPr="00DE7C10" w:rsidTr="0008084B">
        <w:trPr>
          <w:trHeight w:val="408"/>
        </w:trPr>
        <w:tc>
          <w:tcPr>
            <w:tcW w:w="1696" w:type="dxa"/>
            <w:shd w:val="clear" w:color="auto" w:fill="C2D69B"/>
            <w:vAlign w:val="bottom"/>
          </w:tcPr>
          <w:p w:rsidR="00AE787B" w:rsidRPr="00DE7C10" w:rsidRDefault="00AE787B" w:rsidP="0008084B">
            <w:pPr>
              <w:spacing w:after="0" w:line="240" w:lineRule="auto"/>
              <w:jc w:val="both"/>
              <w:rPr>
                <w:rFonts w:ascii="Calibri" w:eastAsia="Calibri" w:hAnsi="Calibri" w:cs="Calibri"/>
                <w:color w:val="000000"/>
                <w:lang w:eastAsia="fi-FI"/>
              </w:rPr>
            </w:pPr>
          </w:p>
        </w:tc>
        <w:tc>
          <w:tcPr>
            <w:tcW w:w="5245" w:type="dxa"/>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i/>
                <w:color w:val="000000"/>
                <w:sz w:val="24"/>
                <w:szCs w:val="24"/>
                <w:lang w:eastAsia="fi-FI"/>
              </w:rPr>
              <w:t>yhteinen</w:t>
            </w:r>
          </w:p>
        </w:tc>
        <w:tc>
          <w:tcPr>
            <w:tcW w:w="1418" w:type="dxa"/>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i/>
                <w:color w:val="000000"/>
                <w:sz w:val="24"/>
                <w:szCs w:val="24"/>
                <w:lang w:eastAsia="fi-FI"/>
              </w:rPr>
              <w:t>yhteinen</w:t>
            </w:r>
          </w:p>
        </w:tc>
        <w:tc>
          <w:tcPr>
            <w:tcW w:w="1731" w:type="dxa"/>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i/>
                <w:color w:val="000000"/>
                <w:sz w:val="24"/>
                <w:szCs w:val="24"/>
                <w:lang w:eastAsia="fi-FI"/>
              </w:rPr>
              <w:t>valinnainen</w:t>
            </w:r>
          </w:p>
        </w:tc>
      </w:tr>
      <w:tr w:rsidR="00AE787B" w:rsidRPr="00DE7C10" w:rsidTr="0008084B">
        <w:trPr>
          <w:trHeight w:val="414"/>
        </w:trPr>
        <w:tc>
          <w:tcPr>
            <w:tcW w:w="1696" w:type="dxa"/>
            <w:shd w:val="clear" w:color="auto" w:fill="C2D69B"/>
            <w:vAlign w:val="center"/>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suomi</w:t>
            </w:r>
          </w:p>
        </w:tc>
        <w:tc>
          <w:tcPr>
            <w:tcW w:w="5245"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suomen kieli ja kirjallisuus</w:t>
            </w:r>
          </w:p>
        </w:tc>
        <w:tc>
          <w:tcPr>
            <w:tcW w:w="1418" w:type="dxa"/>
            <w:shd w:val="clear" w:color="auto" w:fill="EBF1DD"/>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color w:val="000000"/>
                <w:sz w:val="24"/>
                <w:szCs w:val="24"/>
                <w:lang w:eastAsia="fi-FI"/>
              </w:rPr>
              <w:t>ruotsi</w:t>
            </w:r>
          </w:p>
        </w:tc>
        <w:tc>
          <w:tcPr>
            <w:tcW w:w="1731"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w:t>
            </w:r>
          </w:p>
        </w:tc>
      </w:tr>
      <w:tr w:rsidR="00AE787B" w:rsidRPr="00DE7C10" w:rsidTr="0008084B">
        <w:trPr>
          <w:trHeight w:val="419"/>
        </w:trPr>
        <w:tc>
          <w:tcPr>
            <w:tcW w:w="1696" w:type="dxa"/>
            <w:shd w:val="clear" w:color="auto" w:fill="C2D69B"/>
            <w:vAlign w:val="center"/>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ruotsi</w:t>
            </w:r>
          </w:p>
        </w:tc>
        <w:tc>
          <w:tcPr>
            <w:tcW w:w="5245" w:type="dxa"/>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ruotsin kieli ja kirjallisuus</w:t>
            </w:r>
          </w:p>
        </w:tc>
        <w:tc>
          <w:tcPr>
            <w:tcW w:w="1418" w:type="dxa"/>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color w:val="000000"/>
                <w:sz w:val="24"/>
                <w:szCs w:val="24"/>
                <w:lang w:eastAsia="fi-FI"/>
              </w:rPr>
              <w:t>suomi</w:t>
            </w:r>
          </w:p>
        </w:tc>
        <w:tc>
          <w:tcPr>
            <w:tcW w:w="1731" w:type="dxa"/>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w:t>
            </w:r>
          </w:p>
        </w:tc>
      </w:tr>
      <w:tr w:rsidR="00AE787B" w:rsidRPr="00DE7C10" w:rsidTr="0008084B">
        <w:trPr>
          <w:trHeight w:val="580"/>
        </w:trPr>
        <w:tc>
          <w:tcPr>
            <w:tcW w:w="1696" w:type="dxa"/>
            <w:shd w:val="clear" w:color="auto" w:fill="C2D69B"/>
            <w:vAlign w:val="center"/>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 xml:space="preserve">saame </w:t>
            </w:r>
          </w:p>
        </w:tc>
        <w:tc>
          <w:tcPr>
            <w:tcW w:w="5245" w:type="dxa"/>
            <w:shd w:val="clear" w:color="auto" w:fill="EBF1DD"/>
            <w:vAlign w:val="bottom"/>
          </w:tcPr>
          <w:p w:rsidR="00AE787B" w:rsidRPr="00DE7C10" w:rsidRDefault="00AE787B" w:rsidP="0008084B">
            <w:pPr>
              <w:spacing w:after="0" w:line="240" w:lineRule="auto"/>
              <w:rPr>
                <w:rFonts w:ascii="Calibri" w:eastAsia="Calibri" w:hAnsi="Calibri" w:cs="Calibri"/>
                <w:color w:val="000000"/>
                <w:lang w:eastAsia="fi-FI"/>
              </w:rPr>
            </w:pPr>
            <w:r w:rsidRPr="00DE7C10">
              <w:rPr>
                <w:rFonts w:ascii="Calibri" w:eastAsia="Calibri" w:hAnsi="Calibri" w:cs="Calibri"/>
                <w:color w:val="000000"/>
                <w:sz w:val="24"/>
                <w:szCs w:val="24"/>
                <w:lang w:eastAsia="fi-FI"/>
              </w:rPr>
              <w:t>saamen kieli ja kirjallisuus sekä suomi tai ruotsi saamenkielisille</w:t>
            </w:r>
          </w:p>
        </w:tc>
        <w:tc>
          <w:tcPr>
            <w:tcW w:w="1418" w:type="dxa"/>
            <w:shd w:val="clear" w:color="auto" w:fill="EBF1DD"/>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color w:val="000000"/>
                <w:sz w:val="24"/>
                <w:szCs w:val="24"/>
                <w:lang w:eastAsia="fi-FI"/>
              </w:rPr>
              <w:t>-</w:t>
            </w:r>
          </w:p>
          <w:p w:rsidR="00AE787B" w:rsidRPr="00DE7C10" w:rsidRDefault="00AE787B" w:rsidP="0008084B">
            <w:pPr>
              <w:spacing w:after="0" w:line="240" w:lineRule="auto"/>
              <w:jc w:val="center"/>
              <w:rPr>
                <w:rFonts w:ascii="Calibri" w:eastAsia="Calibri" w:hAnsi="Calibri" w:cs="Calibri"/>
                <w:color w:val="000000"/>
                <w:lang w:eastAsia="fi-FI"/>
              </w:rPr>
            </w:pPr>
          </w:p>
        </w:tc>
        <w:tc>
          <w:tcPr>
            <w:tcW w:w="1731"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suomi tai ruotsi</w:t>
            </w:r>
          </w:p>
        </w:tc>
      </w:tr>
      <w:tr w:rsidR="00AE787B" w:rsidRPr="00DE7C10" w:rsidTr="0008084B">
        <w:trPr>
          <w:trHeight w:val="280"/>
        </w:trPr>
        <w:tc>
          <w:tcPr>
            <w:tcW w:w="1696" w:type="dxa"/>
            <w:shd w:val="clear" w:color="auto" w:fill="C2D69B"/>
            <w:vAlign w:val="center"/>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 xml:space="preserve">saame </w:t>
            </w:r>
          </w:p>
        </w:tc>
        <w:tc>
          <w:tcPr>
            <w:tcW w:w="5245" w:type="dxa"/>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suomen tai ruotsin kieli ja kirjallisuus sekä saamen kieli ja kirjallisuus</w:t>
            </w:r>
          </w:p>
        </w:tc>
        <w:tc>
          <w:tcPr>
            <w:tcW w:w="1418" w:type="dxa"/>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color w:val="000000"/>
                <w:sz w:val="24"/>
                <w:szCs w:val="24"/>
                <w:lang w:eastAsia="fi-FI"/>
              </w:rPr>
              <w:t>ruotsi tai suomi</w:t>
            </w:r>
          </w:p>
        </w:tc>
        <w:tc>
          <w:tcPr>
            <w:tcW w:w="1731" w:type="dxa"/>
            <w:vAlign w:val="bottom"/>
          </w:tcPr>
          <w:p w:rsidR="00AE787B" w:rsidRPr="00DE7C10" w:rsidRDefault="00AE787B" w:rsidP="0008084B">
            <w:pPr>
              <w:spacing w:after="0" w:line="240" w:lineRule="auto"/>
              <w:jc w:val="both"/>
              <w:rPr>
                <w:rFonts w:ascii="Calibri" w:eastAsia="Calibri" w:hAnsi="Calibri" w:cs="Calibri"/>
                <w:color w:val="000000"/>
                <w:lang w:eastAsia="fi-FI"/>
              </w:rPr>
            </w:pPr>
          </w:p>
        </w:tc>
      </w:tr>
      <w:tr w:rsidR="00AE787B" w:rsidRPr="00DE7C10" w:rsidTr="0008084B">
        <w:trPr>
          <w:trHeight w:val="580"/>
        </w:trPr>
        <w:tc>
          <w:tcPr>
            <w:tcW w:w="1696" w:type="dxa"/>
            <w:shd w:val="clear" w:color="auto" w:fill="C2D69B"/>
            <w:vAlign w:val="center"/>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romani</w:t>
            </w:r>
          </w:p>
        </w:tc>
        <w:tc>
          <w:tcPr>
            <w:tcW w:w="5245"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suomen tai ruotsin kieli ja kirjallisuus sekä romanikieli ja kirjallisuus</w:t>
            </w:r>
          </w:p>
        </w:tc>
        <w:tc>
          <w:tcPr>
            <w:tcW w:w="1418" w:type="dxa"/>
            <w:shd w:val="clear" w:color="auto" w:fill="EBF1DD"/>
            <w:vAlign w:val="bottom"/>
          </w:tcPr>
          <w:p w:rsidR="00AE787B" w:rsidRPr="00DE7C10" w:rsidRDefault="00AE787B" w:rsidP="0008084B">
            <w:pPr>
              <w:spacing w:after="0" w:line="240" w:lineRule="auto"/>
              <w:jc w:val="center"/>
              <w:rPr>
                <w:rFonts w:ascii="Calibri" w:eastAsia="Calibri" w:hAnsi="Calibri" w:cs="Calibri"/>
                <w:color w:val="000000"/>
                <w:lang w:eastAsia="fi-FI"/>
              </w:rPr>
            </w:pPr>
            <w:r w:rsidRPr="00DE7C10">
              <w:rPr>
                <w:rFonts w:ascii="Calibri" w:eastAsia="Calibri" w:hAnsi="Calibri" w:cs="Calibri"/>
                <w:color w:val="000000"/>
                <w:sz w:val="24"/>
                <w:szCs w:val="24"/>
                <w:lang w:eastAsia="fi-FI"/>
              </w:rPr>
              <w:t>ruotsi tai suomi</w:t>
            </w:r>
          </w:p>
        </w:tc>
        <w:tc>
          <w:tcPr>
            <w:tcW w:w="1731"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w:t>
            </w:r>
          </w:p>
        </w:tc>
      </w:tr>
      <w:tr w:rsidR="00AE787B" w:rsidRPr="00DE7C10" w:rsidTr="0008084B">
        <w:trPr>
          <w:trHeight w:val="600"/>
        </w:trPr>
        <w:tc>
          <w:tcPr>
            <w:tcW w:w="1696" w:type="dxa"/>
            <w:shd w:val="clear" w:color="auto" w:fill="C2D69B"/>
            <w:vAlign w:val="center"/>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viittomakieli</w:t>
            </w:r>
          </w:p>
        </w:tc>
        <w:tc>
          <w:tcPr>
            <w:tcW w:w="5245" w:type="dxa"/>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viittomakieli ja kirjallisuus sekä suomi tai ruotsi viittomakielisille</w:t>
            </w:r>
          </w:p>
        </w:tc>
        <w:tc>
          <w:tcPr>
            <w:tcW w:w="1418" w:type="dxa"/>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w:t>
            </w:r>
          </w:p>
        </w:tc>
        <w:tc>
          <w:tcPr>
            <w:tcW w:w="1731" w:type="dxa"/>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ruotsi tai suomi</w:t>
            </w:r>
          </w:p>
        </w:tc>
      </w:tr>
      <w:tr w:rsidR="00AE787B" w:rsidRPr="00DE7C10" w:rsidTr="0008084B">
        <w:trPr>
          <w:trHeight w:val="280"/>
        </w:trPr>
        <w:tc>
          <w:tcPr>
            <w:tcW w:w="1696" w:type="dxa"/>
            <w:shd w:val="clear" w:color="auto" w:fill="C2D69B"/>
            <w:vAlign w:val="center"/>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muu äidinkieli</w:t>
            </w:r>
          </w:p>
        </w:tc>
        <w:tc>
          <w:tcPr>
            <w:tcW w:w="5245"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muu äidinkieli koko äidinkielen ja kirjallisuuden tuntimäärällä tai VA 422/2012 8 §:n mukaisesti järjestettynä sekä suomi tai ruotsi toisena kielenä</w:t>
            </w:r>
          </w:p>
        </w:tc>
        <w:tc>
          <w:tcPr>
            <w:tcW w:w="1418"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w:t>
            </w:r>
          </w:p>
        </w:tc>
        <w:tc>
          <w:tcPr>
            <w:tcW w:w="1731" w:type="dxa"/>
            <w:shd w:val="clear" w:color="auto" w:fill="EBF1DD"/>
            <w:vAlign w:val="bottom"/>
          </w:tcPr>
          <w:p w:rsidR="00AE787B" w:rsidRPr="00DE7C10" w:rsidRDefault="00AE787B" w:rsidP="0008084B">
            <w:pPr>
              <w:spacing w:after="0" w:line="240" w:lineRule="auto"/>
              <w:jc w:val="both"/>
              <w:rPr>
                <w:rFonts w:ascii="Calibri" w:eastAsia="Calibri" w:hAnsi="Calibri" w:cs="Calibri"/>
                <w:color w:val="000000"/>
                <w:lang w:eastAsia="fi-FI"/>
              </w:rPr>
            </w:pPr>
            <w:r w:rsidRPr="00DE7C10">
              <w:rPr>
                <w:rFonts w:ascii="Calibri" w:eastAsia="Calibri" w:hAnsi="Calibri" w:cs="Calibri"/>
                <w:color w:val="000000"/>
                <w:sz w:val="24"/>
                <w:szCs w:val="24"/>
                <w:lang w:eastAsia="fi-FI"/>
              </w:rPr>
              <w:t>ruotsi tai suomi</w:t>
            </w:r>
          </w:p>
        </w:tc>
      </w:tr>
    </w:tbl>
    <w:p w:rsidR="00803E38" w:rsidRDefault="00803E38"/>
    <w:sectPr w:rsidR="00803E3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7B"/>
    <w:rsid w:val="001D5D0E"/>
    <w:rsid w:val="0061127C"/>
    <w:rsid w:val="00803E38"/>
    <w:rsid w:val="00954452"/>
    <w:rsid w:val="00AE78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A4570-0CB1-486E-AF2C-076C643F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E787B"/>
  </w:style>
  <w:style w:type="paragraph" w:styleId="Otsikko1">
    <w:name w:val="heading 1"/>
    <w:basedOn w:val="Normaali"/>
    <w:next w:val="Normaali"/>
    <w:link w:val="Otsikko1Char"/>
    <w:uiPriority w:val="9"/>
    <w:qFormat/>
    <w:rsid w:val="00AE7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E787B"/>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AE787B"/>
    <w:pPr>
      <w:outlineLvl w:val="9"/>
    </w:pPr>
    <w:rPr>
      <w:lang w:eastAsia="fi-FI"/>
    </w:rPr>
  </w:style>
  <w:style w:type="paragraph" w:styleId="Sisluet2">
    <w:name w:val="toc 2"/>
    <w:basedOn w:val="Normaali"/>
    <w:next w:val="Normaali"/>
    <w:autoRedefine/>
    <w:uiPriority w:val="39"/>
    <w:unhideWhenUsed/>
    <w:rsid w:val="00AE787B"/>
    <w:pPr>
      <w:spacing w:after="100"/>
      <w:ind w:left="220"/>
    </w:pPr>
  </w:style>
  <w:style w:type="paragraph" w:styleId="Sisluet3">
    <w:name w:val="toc 3"/>
    <w:basedOn w:val="Normaali"/>
    <w:next w:val="Normaali"/>
    <w:autoRedefine/>
    <w:uiPriority w:val="39"/>
    <w:unhideWhenUsed/>
    <w:rsid w:val="00AE787B"/>
    <w:pPr>
      <w:spacing w:after="100"/>
      <w:ind w:left="440"/>
    </w:pPr>
  </w:style>
  <w:style w:type="character" w:styleId="Hyperlinkki">
    <w:name w:val="Hyperlink"/>
    <w:basedOn w:val="Kappaleenoletusfontti"/>
    <w:uiPriority w:val="99"/>
    <w:unhideWhenUsed/>
    <w:rsid w:val="00AE7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16AD-89E2-4BD2-B49E-9F4E4E5F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2360</Words>
  <Characters>19124</Characters>
  <Application>Microsoft Office Word</Application>
  <DocSecurity>0</DocSecurity>
  <Lines>159</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Alaste Tarja</dc:creator>
  <cp:keywords/>
  <dc:description/>
  <cp:lastModifiedBy>Alaste Tarja</cp:lastModifiedBy>
  <cp:revision>3</cp:revision>
  <cp:lastPrinted>2016-08-22T11:20:00Z</cp:lastPrinted>
  <dcterms:created xsi:type="dcterms:W3CDTF">2016-08-22T11:19:00Z</dcterms:created>
  <dcterms:modified xsi:type="dcterms:W3CDTF">2016-08-22T11:20:00Z</dcterms:modified>
</cp:coreProperties>
</file>