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2160" w:firstLine="72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Cambria" w:hAnsi="Cambria" w:cs="Cambria" w:eastAsia="Cambria"/>
          <w:b/>
          <w:color w:val="000000"/>
          <w:spacing w:val="0"/>
          <w:position w:val="0"/>
          <w:sz w:val="40"/>
          <w:u w:val="single"/>
          <w:shd w:fill="auto" w:val="clear"/>
        </w:rPr>
        <w:t xml:space="preserve">ELÄMÄNKATSOMUSTIETO  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Cambria" w:hAnsi="Cambria" w:cs="Cambria" w:eastAsia="Cambria"/>
          <w:b/>
          <w:color w:val="000000"/>
          <w:spacing w:val="0"/>
          <w:position w:val="0"/>
          <w:sz w:val="32"/>
          <w:u w:val="single"/>
          <w:shd w:fill="auto" w:val="clear"/>
        </w:rPr>
        <w:t xml:space="preserve">4. luokka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u w:val="single"/>
          <w:shd w:fill="auto" w:val="clear"/>
        </w:rPr>
      </w:pPr>
    </w:p>
    <w:tbl>
      <w:tblPr/>
      <w:tblGrid>
        <w:gridCol w:w="10057"/>
      </w:tblGrid>
      <w:tr>
        <w:trPr>
          <w:trHeight w:val="1" w:hRule="atLeast"/>
          <w:jc w:val="left"/>
        </w:trPr>
        <w:tc>
          <w:tcPr>
            <w:tcW w:w="1005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20" w:type="dxa"/>
              <w:right w:w="1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000000"/>
                <w:spacing w:val="0"/>
                <w:position w:val="0"/>
                <w:sz w:val="28"/>
                <w:u w:val="single"/>
                <w:shd w:fill="auto" w:val="clear"/>
              </w:rPr>
              <w:t xml:space="preserve">Tavoitteet</w:t>
            </w:r>
          </w:p>
        </w:tc>
      </w:tr>
      <w:tr>
        <w:trPr>
          <w:trHeight w:val="3840" w:hRule="auto"/>
          <w:jc w:val="left"/>
        </w:trPr>
        <w:tc>
          <w:tcPr>
            <w:tcW w:w="1005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20" w:type="dxa"/>
              <w:right w:w="120" w:type="dxa"/>
            </w:tcMar>
            <w:vAlign w:val="top"/>
          </w:tcPr>
          <w:p>
            <w:pPr>
              <w:numPr>
                <w:ilvl w:val="0"/>
                <w:numId w:val="8"/>
              </w:numPr>
              <w:spacing w:before="0" w:after="0" w:line="288"/>
              <w:ind w:right="0" w:left="600" w:hanging="36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edistää oppilaan kykyä oivaltaa asioiden välisiä suhteita ja kehittää ajatteluaan</w:t>
            </w:r>
          </w:p>
          <w:p>
            <w:pPr>
              <w:numPr>
                <w:ilvl w:val="0"/>
                <w:numId w:val="8"/>
              </w:numPr>
              <w:spacing w:before="0" w:after="0" w:line="288"/>
              <w:ind w:right="0" w:left="600" w:hanging="36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ohjata oppilasta tunnistamaan ja arvioimaan väitteitä ja niiden perusteluita</w:t>
            </w:r>
          </w:p>
          <w:p>
            <w:pPr>
              <w:numPr>
                <w:ilvl w:val="0"/>
                <w:numId w:val="8"/>
              </w:numPr>
              <w:spacing w:before="0" w:after="0" w:line="288"/>
              <w:ind w:right="0" w:left="600" w:hanging="36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rohkaista ja tukea oppilaan pyrkimystä rakentaa identiteettiään ja elämänkatsomustaan</w:t>
            </w:r>
          </w:p>
          <w:p>
            <w:pPr>
              <w:numPr>
                <w:ilvl w:val="0"/>
                <w:numId w:val="8"/>
              </w:numPr>
              <w:spacing w:before="0" w:after="0" w:line="288"/>
              <w:ind w:right="0" w:left="600" w:hanging="36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ohjata oppilasta suunnittelemaan ja arvioimaan omaa katsomuksellista oppimistaan</w:t>
            </w:r>
          </w:p>
          <w:p>
            <w:pPr>
              <w:numPr>
                <w:ilvl w:val="0"/>
                <w:numId w:val="8"/>
              </w:numPr>
              <w:spacing w:before="0" w:after="0" w:line="288"/>
              <w:ind w:right="0" w:left="600" w:hanging="36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rohkaista oppilasta ilmaisemaan katsomustaan ja kuuntelemaan muiden katsomuksellisia kannanottoja</w:t>
            </w:r>
          </w:p>
          <w:p>
            <w:pPr>
              <w:numPr>
                <w:ilvl w:val="0"/>
                <w:numId w:val="8"/>
              </w:numPr>
              <w:spacing w:before="0" w:after="0" w:line="288"/>
              <w:ind w:right="0" w:left="600" w:hanging="36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luoda edellytyksiä oppilaan eettisen ajattelun taitojen ja kulttuurisen osaamisen kehittymiselle</w:t>
            </w:r>
          </w:p>
          <w:p>
            <w:pPr>
              <w:numPr>
                <w:ilvl w:val="0"/>
                <w:numId w:val="8"/>
              </w:numPr>
              <w:spacing w:before="0" w:after="0" w:line="288"/>
              <w:ind w:right="0" w:left="600" w:hanging="36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kannustaa oppilasta soveltamaan eettisiä periaatteita arjen tilanteisiin</w:t>
            </w:r>
          </w:p>
          <w:p>
            <w:pPr>
              <w:numPr>
                <w:ilvl w:val="0"/>
                <w:numId w:val="8"/>
              </w:numPr>
              <w:spacing w:before="0" w:after="0" w:line="288"/>
              <w:ind w:right="0" w:left="600" w:hanging="36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ohjata oppilas tuntemaan YK.n yleismaailmalliseen ihmisoikeuksien julistukseen perustuvaa ihmisoikeusetiikkaa, erityisesti lapsen oikeuksia</w:t>
            </w:r>
          </w:p>
          <w:p>
            <w:pPr>
              <w:numPr>
                <w:ilvl w:val="0"/>
                <w:numId w:val="8"/>
              </w:numPr>
              <w:spacing w:before="0" w:after="0" w:line="288"/>
              <w:ind w:right="0" w:left="600" w:hanging="36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ohjata oppilasta kantamaan vastuuta itsestä, toisista ihmisistä ja luonnosta sekä rohkaista oppilasta toimimaan aloitteellisesti ja vastuullisesti omassa ympäristössään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u w:val="single"/>
          <w:shd w:fill="auto" w:val="clear"/>
        </w:rPr>
      </w:pPr>
    </w:p>
    <w:tbl>
      <w:tblPr/>
      <w:tblGrid>
        <w:gridCol w:w="3660"/>
        <w:gridCol w:w="4635"/>
        <w:gridCol w:w="1785"/>
      </w:tblGrid>
      <w:tr>
        <w:trPr>
          <w:trHeight w:val="340" w:hRule="auto"/>
          <w:jc w:val="left"/>
        </w:trPr>
        <w:tc>
          <w:tcPr>
            <w:tcW w:w="10080" w:type="dxa"/>
            <w:gridSpan w:val="3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20" w:type="dxa"/>
              <w:right w:w="1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000000"/>
                <w:spacing w:val="0"/>
                <w:position w:val="0"/>
                <w:sz w:val="28"/>
                <w:u w:val="single"/>
                <w:shd w:fill="auto" w:val="clear"/>
              </w:rPr>
              <w:t xml:space="preserve">Oppisisällöt</w:t>
            </w:r>
          </w:p>
        </w:tc>
      </w:tr>
      <w:tr>
        <w:trPr>
          <w:trHeight w:val="300" w:hRule="auto"/>
          <w:jc w:val="left"/>
        </w:trPr>
        <w:tc>
          <w:tcPr>
            <w:tcW w:w="36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20" w:type="dxa"/>
              <w:right w:w="1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Osa-alue</w:t>
            </w:r>
          </w:p>
        </w:tc>
        <w:tc>
          <w:tcPr>
            <w:tcW w:w="463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20" w:type="dxa"/>
              <w:right w:w="1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Sisältö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78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20" w:type="dxa"/>
              <w:right w:w="1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Laaja-alainen osaaminen</w:t>
            </w:r>
          </w:p>
        </w:tc>
      </w:tr>
      <w:tr>
        <w:trPr>
          <w:trHeight w:val="960" w:hRule="auto"/>
          <w:jc w:val="left"/>
        </w:trPr>
        <w:tc>
          <w:tcPr>
            <w:tcW w:w="36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20" w:type="dxa"/>
              <w:right w:w="1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Kasvaminen hyvään elämään S1</w:t>
            </w:r>
          </w:p>
        </w:tc>
        <w:tc>
          <w:tcPr>
            <w:tcW w:w="463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20" w:type="dxa"/>
              <w:right w:w="1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Tutkitaan oikeudenmukaisuuden  ilmenemistä jokapäiväisessä elämässä.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Pohditaan onnellisuutta ja hyvää elämää.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(Kultainen keskitie; Aristoteles -kohtuus kaikessa, Tarpeiden hierarkia)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78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20" w:type="dxa"/>
              <w:right w:w="1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L1, L2, L3, L7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L1, L2, L3, L7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740" w:hRule="auto"/>
          <w:jc w:val="left"/>
        </w:trPr>
        <w:tc>
          <w:tcPr>
            <w:tcW w:w="36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20" w:type="dxa"/>
              <w:right w:w="1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Erilaisia elämäntapoja S2</w:t>
            </w:r>
          </w:p>
        </w:tc>
        <w:tc>
          <w:tcPr>
            <w:tcW w:w="463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20" w:type="dxa"/>
              <w:right w:w="1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Pohditaan yhdenvertaisuuden, hyväksymisen, ymmärtämisen, tietämisen, uskomisen ja luulemisen merkityksiä.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( Luulo ei ole tiedon väärti- totta toinen puoli)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78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20" w:type="dxa"/>
              <w:right w:w="1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L1, L2, L3, L7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600" w:hRule="auto"/>
          <w:jc w:val="left"/>
        </w:trPr>
        <w:tc>
          <w:tcPr>
            <w:tcW w:w="36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20" w:type="dxa"/>
              <w:right w:w="1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Yhteiselämän perusteita S3</w:t>
            </w:r>
          </w:p>
        </w:tc>
        <w:tc>
          <w:tcPr>
            <w:tcW w:w="463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20" w:type="dxa"/>
              <w:right w:w="1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Perehdytään ihmisten yhteiselämän perusteisiin tutkimalla oikeuden ja velvollisuuden merkityksiä niin erilaisissa oppilaan elämään liittyvissä arkipäivän tilanteissa ja ympäristöissä kuin laajemminkin.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Harjoitellaan omien näkemysten erittelyä ja perustelemista suhteessa yhteiselämän vaatimuksiin.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78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20" w:type="dxa"/>
              <w:right w:w="1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L1, L6, L7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L1, L2, L3, L7</w:t>
            </w:r>
          </w:p>
        </w:tc>
      </w:tr>
      <w:tr>
        <w:trPr>
          <w:trHeight w:val="580" w:hRule="auto"/>
          <w:jc w:val="left"/>
        </w:trPr>
        <w:tc>
          <w:tcPr>
            <w:tcW w:w="36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20" w:type="dxa"/>
              <w:right w:w="1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Luonto ja kestävä tulevaisuus S4</w:t>
            </w:r>
          </w:p>
        </w:tc>
        <w:tc>
          <w:tcPr>
            <w:tcW w:w="463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20" w:type="dxa"/>
              <w:right w:w="1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Cambria" w:hAnsi="Cambria" w:cs="Cambria" w:eastAsia="Cambria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Tutkitaan erilaisia luontokäsityksiä (esim.humanistinen, utilistinen, mystinen, naturalistinen)  sekä luonnon ja ihmisen tulevaisuutta (esim.eläinten oikeudet)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78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20" w:type="dxa"/>
              <w:right w:w="1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L1, L3, L7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u w:val="single"/>
          <w:shd w:fill="auto" w:val="clear"/>
        </w:rPr>
      </w:pPr>
    </w:p>
    <w:tbl>
      <w:tblPr/>
      <w:tblGrid>
        <w:gridCol w:w="10095"/>
      </w:tblGrid>
      <w:tr>
        <w:trPr>
          <w:trHeight w:val="1" w:hRule="atLeast"/>
          <w:jc w:val="left"/>
        </w:trPr>
        <w:tc>
          <w:tcPr>
            <w:tcW w:w="1009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20" w:type="dxa"/>
              <w:right w:w="1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000000"/>
                <w:spacing w:val="0"/>
                <w:position w:val="0"/>
                <w:sz w:val="28"/>
                <w:u w:val="single"/>
                <w:shd w:fill="auto" w:val="clear"/>
              </w:rPr>
              <w:t xml:space="preserve">Arviointi</w:t>
            </w:r>
          </w:p>
        </w:tc>
      </w:tr>
      <w:tr>
        <w:trPr>
          <w:trHeight w:val="2820" w:hRule="auto"/>
          <w:jc w:val="left"/>
        </w:trPr>
        <w:tc>
          <w:tcPr>
            <w:tcW w:w="1009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20" w:type="dxa"/>
              <w:right w:w="120" w:type="dxa"/>
            </w:tcMar>
            <w:vAlign w:val="top"/>
          </w:tcPr>
          <w:p>
            <w:pPr>
              <w:numPr>
                <w:ilvl w:val="0"/>
                <w:numId w:val="34"/>
              </w:numPr>
              <w:spacing w:before="0" w:after="0" w:line="240"/>
              <w:ind w:right="0" w:left="720" w:hanging="360"/>
              <w:jc w:val="left"/>
              <w:rPr>
                <w:rFonts w:ascii="Cambria" w:hAnsi="Cambria" w:cs="Cambria" w:eastAsia="Cambria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Cambria" w:hAnsi="Cambria" w:cs="Cambria" w:eastAsia="Cambria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oppilas tuntee oikeudenmukaisuuden periaatteita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</w:p>
          <w:p>
            <w:pPr>
              <w:numPr>
                <w:ilvl w:val="0"/>
                <w:numId w:val="36"/>
              </w:numPr>
              <w:spacing w:before="0" w:after="0" w:line="240"/>
              <w:ind w:right="0" w:left="720" w:hanging="360"/>
              <w:jc w:val="left"/>
              <w:rPr>
                <w:rFonts w:ascii="Cambria" w:hAnsi="Cambria" w:cs="Cambria" w:eastAsia="Cambria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Cambria" w:hAnsi="Cambria" w:cs="Cambria" w:eastAsia="Cambria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oppilas ymmärtää oikeuden ja velvollisuuden periaatteita omassa elämässään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</w:p>
          <w:p>
            <w:pPr>
              <w:numPr>
                <w:ilvl w:val="0"/>
                <w:numId w:val="38"/>
              </w:numPr>
              <w:spacing w:before="0" w:after="0" w:line="240"/>
              <w:ind w:right="0" w:left="720" w:hanging="360"/>
              <w:jc w:val="left"/>
              <w:rPr>
                <w:rFonts w:ascii="Cambria" w:hAnsi="Cambria" w:cs="Cambria" w:eastAsia="Cambria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Cambria" w:hAnsi="Cambria" w:cs="Cambria" w:eastAsia="Cambria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rohkenee esittää omia näkemyksiään ja ymmärtää, että näkemyksiä tulee perustella 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</w:p>
          <w:p>
            <w:pPr>
              <w:numPr>
                <w:ilvl w:val="0"/>
                <w:numId w:val="40"/>
              </w:numPr>
              <w:spacing w:before="0" w:after="0" w:line="240"/>
              <w:ind w:right="0" w:left="720" w:hanging="360"/>
              <w:jc w:val="left"/>
              <w:rPr>
                <w:rFonts w:ascii="Cambria" w:hAnsi="Cambria" w:cs="Cambria" w:eastAsia="Cambria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Cambria" w:hAnsi="Cambria" w:cs="Cambria" w:eastAsia="Cambria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on omaksunut kestävän kehityksen periaatteita ja osaa kantaa vastuuta luonnosta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</w:p>
          <w:p>
            <w:pPr>
              <w:numPr>
                <w:ilvl w:val="0"/>
                <w:numId w:val="42"/>
              </w:numPr>
              <w:spacing w:before="0" w:after="0" w:line="240"/>
              <w:ind w:right="0" w:left="720" w:hanging="360"/>
              <w:jc w:val="left"/>
              <w:rPr>
                <w:rFonts w:ascii="Cambria" w:hAnsi="Cambria" w:cs="Cambria" w:eastAsia="Cambria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Cambria" w:hAnsi="Cambria" w:cs="Cambria" w:eastAsia="Cambria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ymmärtää erilaisia luontokäsityksiä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                 </w:t>
            </w:r>
          </w:p>
        </w:tc>
      </w:tr>
    </w:tbl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u w:val="single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num w:numId="8">
    <w:abstractNumId w:val="30"/>
  </w:num>
  <w:num w:numId="34">
    <w:abstractNumId w:val="24"/>
  </w:num>
  <w:num w:numId="36">
    <w:abstractNumId w:val="18"/>
  </w:num>
  <w:num w:numId="38">
    <w:abstractNumId w:val="12"/>
  </w:num>
  <w:num w:numId="40">
    <w:abstractNumId w:val="6"/>
  </w:num>
  <w:num w:numId="42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