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E34" w:rsidRDefault="00FE3C91" w:rsidP="00FE3C91">
      <w:pPr>
        <w:pStyle w:val="Title"/>
      </w:pPr>
      <w:r>
        <w:t>Oppimiselämäkerrasta esseeksi</w:t>
      </w:r>
    </w:p>
    <w:p w:rsidR="00FE3C91" w:rsidRDefault="00FE3C91"/>
    <w:p w:rsidR="00FE3C91" w:rsidRDefault="00FE3C91"/>
    <w:p w:rsidR="00415D0C" w:rsidRPr="00415D0C" w:rsidRDefault="00415D0C" w:rsidP="00415D0C">
      <w:pPr>
        <w:pStyle w:val="ListParagraph"/>
        <w:numPr>
          <w:ilvl w:val="0"/>
          <w:numId w:val="2"/>
        </w:numPr>
        <w:rPr>
          <w:sz w:val="24"/>
          <w:szCs w:val="24"/>
        </w:rPr>
      </w:pPr>
      <w:r w:rsidRPr="00415D0C">
        <w:rPr>
          <w:bCs/>
          <w:sz w:val="24"/>
          <w:szCs w:val="24"/>
        </w:rPr>
        <w:t>Esittele oppimiselämäkertasi ryhmälle.</w:t>
      </w:r>
      <w:r w:rsidR="00FE3C91" w:rsidRPr="00415D0C">
        <w:rPr>
          <w:sz w:val="24"/>
          <w:szCs w:val="24"/>
        </w:rPr>
        <w:t> </w:t>
      </w:r>
      <w:r>
        <w:rPr>
          <w:sz w:val="24"/>
          <w:szCs w:val="24"/>
        </w:rPr>
        <w:br/>
        <w:t xml:space="preserve">Keskustelkaa ryhmässä,  </w:t>
      </w:r>
    </w:p>
    <w:p w:rsidR="00415D0C" w:rsidRDefault="00415D0C" w:rsidP="00415D0C">
      <w:pPr>
        <w:pStyle w:val="ListParagraph"/>
        <w:numPr>
          <w:ilvl w:val="0"/>
          <w:numId w:val="4"/>
        </w:numPr>
        <w:rPr>
          <w:sz w:val="24"/>
          <w:szCs w:val="24"/>
        </w:rPr>
      </w:pPr>
      <w:r w:rsidRPr="00415D0C">
        <w:rPr>
          <w:sz w:val="24"/>
          <w:szCs w:val="24"/>
        </w:rPr>
        <w:t xml:space="preserve">miten kunkin oppimiselämäkerta </w:t>
      </w:r>
      <w:proofErr w:type="spellStart"/>
      <w:r w:rsidRPr="00415D0C">
        <w:rPr>
          <w:sz w:val="24"/>
          <w:szCs w:val="24"/>
        </w:rPr>
        <w:t>sidostuu</w:t>
      </w:r>
      <w:proofErr w:type="spellEnd"/>
      <w:r w:rsidRPr="00415D0C">
        <w:rPr>
          <w:sz w:val="24"/>
          <w:szCs w:val="24"/>
        </w:rPr>
        <w:t xml:space="preserve"> luennoilla käsiteltyihin asioihin</w:t>
      </w:r>
      <w:r>
        <w:rPr>
          <w:sz w:val="24"/>
          <w:szCs w:val="24"/>
        </w:rPr>
        <w:t xml:space="preserve"> ja</w:t>
      </w:r>
    </w:p>
    <w:p w:rsidR="00415D0C" w:rsidRDefault="00415D0C" w:rsidP="00415D0C">
      <w:pPr>
        <w:pStyle w:val="ListParagraph"/>
        <w:numPr>
          <w:ilvl w:val="0"/>
          <w:numId w:val="4"/>
        </w:numPr>
        <w:rPr>
          <w:sz w:val="24"/>
          <w:szCs w:val="24"/>
        </w:rPr>
      </w:pPr>
      <w:r>
        <w:rPr>
          <w:sz w:val="24"/>
          <w:szCs w:val="24"/>
        </w:rPr>
        <w:t>mitkä oppimiskäsitykset ja käsitteet tuntuisivat parhaiten kuvaavan kunkin oppimiskokemuksia.</w:t>
      </w:r>
    </w:p>
    <w:p w:rsidR="00415D0C" w:rsidRDefault="00415D0C" w:rsidP="00415D0C">
      <w:pPr>
        <w:pStyle w:val="ListParagraph"/>
        <w:numPr>
          <w:ilvl w:val="0"/>
          <w:numId w:val="2"/>
        </w:numPr>
        <w:rPr>
          <w:sz w:val="24"/>
          <w:szCs w:val="24"/>
        </w:rPr>
      </w:pPr>
      <w:r>
        <w:rPr>
          <w:sz w:val="24"/>
          <w:szCs w:val="24"/>
        </w:rPr>
        <w:t>Valitse sitten 2–3 keskeistä käsitteellistä näkökulmaa, joihin perehdyt kurssikirjallisuuden ja mahdollisesti luentotallenteiden avulla. Peilaa lukemaasi koko ajan omiin kokemuksiisi ja analysoi ja käsitteellistä omia kokemuksiasi tutkimuskirjallisuuden avulla.</w:t>
      </w:r>
    </w:p>
    <w:p w:rsidR="00382D09" w:rsidRPr="00382D09" w:rsidRDefault="00415D0C" w:rsidP="00382D09">
      <w:pPr>
        <w:pStyle w:val="ListParagraph"/>
        <w:numPr>
          <w:ilvl w:val="0"/>
          <w:numId w:val="2"/>
        </w:numPr>
        <w:rPr>
          <w:sz w:val="24"/>
          <w:szCs w:val="24"/>
        </w:rPr>
      </w:pPr>
      <w:r w:rsidRPr="00382D09">
        <w:rPr>
          <w:sz w:val="24"/>
          <w:szCs w:val="24"/>
        </w:rPr>
        <w:t>Kirjoita 3–5 sivun mittainen essee, jossa käytät tieteellisen kirjoittamisen periaatteita (ns. kandidaatin tutkielman pohj</w:t>
      </w:r>
      <w:r w:rsidR="00EF6784" w:rsidRPr="00382D09">
        <w:rPr>
          <w:sz w:val="24"/>
          <w:szCs w:val="24"/>
        </w:rPr>
        <w:t>a)</w:t>
      </w:r>
      <w:r w:rsidR="00382D09" w:rsidRPr="00382D09">
        <w:rPr>
          <w:sz w:val="24"/>
          <w:szCs w:val="24"/>
        </w:rPr>
        <w:t xml:space="preserve">. Lue alla olevat arvioinnin kriteerit ennen aloittamista. </w:t>
      </w:r>
    </w:p>
    <w:p w:rsidR="00382D09" w:rsidRPr="00382D09" w:rsidRDefault="00382D09" w:rsidP="00382D09">
      <w:pPr>
        <w:pStyle w:val="ListParagraph"/>
        <w:numPr>
          <w:ilvl w:val="0"/>
          <w:numId w:val="2"/>
        </w:numPr>
        <w:rPr>
          <w:sz w:val="24"/>
          <w:szCs w:val="24"/>
        </w:rPr>
      </w:pPr>
      <w:r w:rsidRPr="00382D09">
        <w:rPr>
          <w:sz w:val="24"/>
          <w:szCs w:val="24"/>
        </w:rPr>
        <w:t xml:space="preserve">Noudata yleisiä kirjoittamisen ohjeita: esim. jäsennys, lähdeviittaukset (ei päiväkirjanomaista raportointia). </w:t>
      </w:r>
    </w:p>
    <w:p w:rsidR="00382D09" w:rsidRDefault="00382D09" w:rsidP="00382D09">
      <w:pPr>
        <w:pStyle w:val="ListParagraph"/>
        <w:numPr>
          <w:ilvl w:val="0"/>
          <w:numId w:val="10"/>
        </w:numPr>
        <w:rPr>
          <w:sz w:val="24"/>
          <w:szCs w:val="24"/>
        </w:rPr>
      </w:pPr>
      <w:r w:rsidRPr="00382D09">
        <w:rPr>
          <w:sz w:val="24"/>
          <w:szCs w:val="24"/>
        </w:rPr>
        <w:t>Kirjallisuusviite merkitään tekstin sisään se</w:t>
      </w:r>
      <w:r>
        <w:rPr>
          <w:sz w:val="24"/>
          <w:szCs w:val="24"/>
        </w:rPr>
        <w:t>uraavasti: (</w:t>
      </w:r>
      <w:proofErr w:type="spellStart"/>
      <w:r>
        <w:rPr>
          <w:sz w:val="24"/>
          <w:szCs w:val="24"/>
        </w:rPr>
        <w:t>Varto</w:t>
      </w:r>
      <w:proofErr w:type="spellEnd"/>
      <w:r>
        <w:rPr>
          <w:sz w:val="24"/>
          <w:szCs w:val="24"/>
        </w:rPr>
        <w:t xml:space="preserve"> 2005, 204). </w:t>
      </w:r>
    </w:p>
    <w:p w:rsidR="00382D09" w:rsidRDefault="00382D09" w:rsidP="00382D09">
      <w:pPr>
        <w:pStyle w:val="ListParagraph"/>
        <w:numPr>
          <w:ilvl w:val="0"/>
          <w:numId w:val="10"/>
        </w:numPr>
        <w:rPr>
          <w:sz w:val="24"/>
          <w:szCs w:val="24"/>
        </w:rPr>
      </w:pPr>
      <w:r w:rsidRPr="00382D09">
        <w:rPr>
          <w:sz w:val="24"/>
          <w:szCs w:val="24"/>
        </w:rPr>
        <w:t xml:space="preserve">Viittaus luentoihin puolestaan seuraavasti: (Timo </w:t>
      </w:r>
      <w:r>
        <w:rPr>
          <w:sz w:val="24"/>
          <w:szCs w:val="24"/>
        </w:rPr>
        <w:t xml:space="preserve">Saloviidan luento 10.11.2015). </w:t>
      </w:r>
    </w:p>
    <w:p w:rsidR="00382D09" w:rsidRDefault="00866F77" w:rsidP="00382D09">
      <w:pPr>
        <w:pStyle w:val="ListParagraph"/>
        <w:numPr>
          <w:ilvl w:val="0"/>
          <w:numId w:val="10"/>
        </w:numPr>
        <w:rPr>
          <w:sz w:val="24"/>
          <w:szCs w:val="24"/>
        </w:rPr>
      </w:pPr>
      <w:r w:rsidRPr="00866F77">
        <w:rPr>
          <w:noProof/>
          <w:sz w:val="24"/>
          <w:szCs w:val="24"/>
          <w:lang w:eastAsia="fi-FI"/>
        </w:rPr>
        <mc:AlternateContent>
          <mc:Choice Requires="wps">
            <w:drawing>
              <wp:anchor distT="45720" distB="45720" distL="114300" distR="114300" simplePos="0" relativeHeight="251659264" behindDoc="0" locked="0" layoutInCell="1" allowOverlap="1">
                <wp:simplePos x="0" y="0"/>
                <wp:positionH relativeFrom="column">
                  <wp:posOffset>198755</wp:posOffset>
                </wp:positionH>
                <wp:positionV relativeFrom="paragraph">
                  <wp:posOffset>755015</wp:posOffset>
                </wp:positionV>
                <wp:extent cx="5812155" cy="369697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3696970"/>
                        </a:xfrm>
                        <a:prstGeom prst="rect">
                          <a:avLst/>
                        </a:prstGeom>
                        <a:solidFill>
                          <a:srgbClr val="FFFFFF"/>
                        </a:solidFill>
                        <a:ln w="9525">
                          <a:solidFill>
                            <a:srgbClr val="000000"/>
                          </a:solidFill>
                          <a:miter lim="800000"/>
                          <a:headEnd/>
                          <a:tailEnd/>
                        </a:ln>
                      </wps:spPr>
                      <wps:txbx>
                        <w:txbxContent>
                          <w:p w:rsidR="00866F77" w:rsidRDefault="00866F77" w:rsidP="00866F77">
                            <w:pPr>
                              <w:pStyle w:val="Heading2"/>
                              <w:rPr>
                                <w:rFonts w:ascii="inherit" w:hAnsi="inherit"/>
                              </w:rPr>
                            </w:pPr>
                            <w:r>
                              <w:t>Mikä on es</w:t>
                            </w:r>
                            <w:r>
                              <w:softHyphen/>
                              <w:t>see?</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Essee on lyhyehkö tutkielma, jossa pohditaan valittua aihetta useamman kuin yhden teoksen tai tieteellisen artikkelin pohjalta. Se ei siis ole kirjareferaatti opintojakson tenttikirjasta tai -kirjoista. Essee on itseopiskelun muoto, joka tarjoaa tilaisuuden hankkia uutta tietoa ja syventää olemassa olevaa käsitystä oppiaineeseen liittyvistä keskeisistä teemoista.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Essee on tyyliltään ja rakenteeltaan vapaampi kuin tieteellinen artikkeli. Tekstin tulee kuitenkin edetä järjestelmällisesti, kokonaisuuksiin painottuen. Essee jäsennellään sisällön mukaan lukuihin, jotka otsikoidaan. Tyypillisin tapa kirjoittaa essee on seuraava: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1) johdantoluku, jossa esitellään aihe tai tutkimuskysymys, annetaan lyhyesti tausta aiheen käsittelylle, esitellään näkökulma ja tehdään käsittelyn rajaus</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2) varsinainen käsittelyosa, jonka rakenne riippuu valitusta näkökulmasta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3) lopetus, jossa kirjoittaja kokoaa keskeisiä näkökulmia, kehittää ajatuksia edelleen, pohtii asian merkityksiä tms.</w:t>
                            </w:r>
                          </w:p>
                          <w:p w:rsidR="00866F77" w:rsidRPr="00866F77" w:rsidRDefault="00866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5pt;margin-top:59.45pt;width:457.65pt;height:29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">
                <v:textbox>
                  <w:txbxContent>
                    <w:p w:rsidR="00866F77" w:rsidRDefault="00866F77" w:rsidP="00866F77">
                      <w:pPr>
                        <w:pStyle w:val="Heading2"/>
                        <w:rPr>
                          <w:rFonts w:ascii="inherit" w:hAnsi="inherit"/>
                        </w:rPr>
                      </w:pPr>
                      <w:r>
                        <w:t>Mikä on es</w:t>
                      </w:r>
                      <w:r>
                        <w:softHyphen/>
                        <w:t>see?</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Essee on lyhyehkö tutkielma, jossa pohditaan valittua aihetta useamman kuin yhden teoksen tai tieteellisen artikkelin pohjalta. Se ei siis ole kirjareferaatti opintojakson tenttikirjasta tai -kirjoista. Essee on itseopiskelun muoto, joka tarjoaa tilaisuuden hankkia uutta tietoa ja syventää olemassa olevaa käsitystä oppiaineeseen liittyvistä keskeisistä teemoista.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Essee on tyyliltään ja rakenteeltaan vapaampi kuin tieteellinen artikkeli. Tekstin tulee kuitenkin edetä järjestelmällisesti, kokonaisuuksiin painottuen. Essee jäsennellään sisällön mukaan lukuihin, jotka otsikoidaan. Tyypillisin tapa kirjoittaa essee on seuraava: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1) johdantoluku, jossa esitellään aihe tai tutkimuskysymys, annetaan lyhyesti tausta aiheen käsittelylle, esitellään näkökulma ja tehdään käsittelyn rajaus</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2) varsinainen käsittelyosa, jonka rakenne riippuu valitusta näkökulmasta</w:t>
                      </w:r>
                    </w:p>
                    <w:p w:rsidR="00866F77" w:rsidRPr="00866F77" w:rsidRDefault="00866F77" w:rsidP="00866F77">
                      <w:pPr>
                        <w:pStyle w:val="NormalWeb"/>
                        <w:rPr>
                          <w:rFonts w:asciiTheme="minorHAnsi" w:hAnsiTheme="minorHAnsi" w:cstheme="minorHAnsi"/>
                          <w:color w:val="292B2C"/>
                        </w:rPr>
                      </w:pPr>
                      <w:r w:rsidRPr="00866F77">
                        <w:rPr>
                          <w:rFonts w:asciiTheme="minorHAnsi" w:hAnsiTheme="minorHAnsi" w:cstheme="minorHAnsi"/>
                          <w:color w:val="292B2C"/>
                        </w:rPr>
                        <w:t>3) lopetus, jossa kirjoittaja kokoaa keskeisiä näkökulmia, kehittää ajatuksia edelleen, pohtii asian merkityksiä tms.</w:t>
                      </w:r>
                    </w:p>
                    <w:p w:rsidR="00866F77" w:rsidRPr="00866F77" w:rsidRDefault="00866F77"/>
                  </w:txbxContent>
                </v:textbox>
                <w10:wrap type="square"/>
              </v:shape>
            </w:pict>
          </mc:Fallback>
        </mc:AlternateContent>
      </w:r>
      <w:r w:rsidR="00382D09" w:rsidRPr="00382D09">
        <w:rPr>
          <w:sz w:val="24"/>
          <w:szCs w:val="24"/>
        </w:rPr>
        <w:t>Kokoa esseen loppuun lähdeluettelo, josta ilmenee, mitä kirjallisuutta ole</w:t>
      </w:r>
      <w:r w:rsidR="00382D09">
        <w:rPr>
          <w:sz w:val="24"/>
          <w:szCs w:val="24"/>
        </w:rPr>
        <w:t xml:space="preserve">t sen laatimisessa käyttänyt. </w:t>
      </w:r>
    </w:p>
    <w:p w:rsidR="00FE3C91" w:rsidRDefault="00FE3C91" w:rsidP="00382D09">
      <w:pPr>
        <w:rPr>
          <w:sz w:val="24"/>
          <w:szCs w:val="24"/>
        </w:rPr>
      </w:pPr>
    </w:p>
    <w:p w:rsidR="00866F77" w:rsidRDefault="00866F77" w:rsidP="00382D09">
      <w:pPr>
        <w:rPr>
          <w:sz w:val="24"/>
          <w:szCs w:val="24"/>
        </w:rPr>
      </w:pPr>
    </w:p>
    <w:p w:rsidR="00FE3C91" w:rsidRPr="00866F77" w:rsidRDefault="00866F77" w:rsidP="00866F77">
      <w:pPr>
        <w:pStyle w:val="NormalWeb"/>
        <w:rPr>
          <w:rFonts w:asciiTheme="minorHAnsi" w:hAnsiTheme="minorHAnsi" w:cstheme="minorHAnsi"/>
        </w:rPr>
      </w:pPr>
      <w:r>
        <w:rPr>
          <w:rFonts w:ascii="Lato" w:hAnsi="Lato" w:cs="Arial"/>
          <w:color w:val="292B2C"/>
        </w:rPr>
        <w:t> </w:t>
      </w:r>
      <w:r w:rsidR="00EF6784" w:rsidRPr="00866F77">
        <w:rPr>
          <w:rFonts w:asciiTheme="minorHAnsi" w:hAnsiTheme="minorHAnsi" w:cstheme="minorHAnsi"/>
          <w:bCs/>
        </w:rPr>
        <w:t>Halutessasi</w:t>
      </w:r>
      <w:r w:rsidR="00FE3C91" w:rsidRPr="00866F77">
        <w:rPr>
          <w:rFonts w:asciiTheme="minorHAnsi" w:hAnsiTheme="minorHAnsi" w:cstheme="minorHAnsi"/>
          <w:bCs/>
        </w:rPr>
        <w:t xml:space="preserve"> </w:t>
      </w:r>
      <w:r w:rsidR="00EF6784" w:rsidRPr="00866F77">
        <w:rPr>
          <w:rFonts w:asciiTheme="minorHAnsi" w:hAnsiTheme="minorHAnsi" w:cstheme="minorHAnsi"/>
          <w:bCs/>
        </w:rPr>
        <w:t>v</w:t>
      </w:r>
      <w:r w:rsidR="00FE3C91" w:rsidRPr="00866F77">
        <w:rPr>
          <w:rFonts w:asciiTheme="minorHAnsi" w:hAnsiTheme="minorHAnsi" w:cstheme="minorHAnsi"/>
          <w:bCs/>
        </w:rPr>
        <w:t>oit käyttää alla olevia apukysymyksiä tukena tehtävän tekemisessä.</w:t>
      </w:r>
    </w:p>
    <w:p w:rsidR="00FE3C91" w:rsidRPr="00866F77" w:rsidRDefault="00FE3C91" w:rsidP="00FE3C91">
      <w:pPr>
        <w:pStyle w:val="ListParagraph"/>
        <w:numPr>
          <w:ilvl w:val="0"/>
          <w:numId w:val="1"/>
        </w:numPr>
        <w:rPr>
          <w:rFonts w:cstheme="minorHAnsi"/>
          <w:sz w:val="24"/>
          <w:szCs w:val="24"/>
        </w:rPr>
      </w:pPr>
      <w:r w:rsidRPr="00866F77">
        <w:rPr>
          <w:rFonts w:cstheme="minorHAnsi"/>
          <w:bCs/>
          <w:sz w:val="24"/>
          <w:szCs w:val="24"/>
        </w:rPr>
        <w:t>Mihin oppimiskäsityksiin oppimiskokemuksesi sitoutuvat?</w:t>
      </w:r>
    </w:p>
    <w:p w:rsidR="00FE3C91" w:rsidRDefault="00FE3C91" w:rsidP="00FE3C91">
      <w:pPr>
        <w:pStyle w:val="ListParagraph"/>
        <w:numPr>
          <w:ilvl w:val="0"/>
          <w:numId w:val="1"/>
        </w:numPr>
        <w:rPr>
          <w:sz w:val="24"/>
          <w:szCs w:val="24"/>
        </w:rPr>
      </w:pPr>
      <w:r>
        <w:rPr>
          <w:bCs/>
          <w:sz w:val="24"/>
          <w:szCs w:val="24"/>
        </w:rPr>
        <w:t xml:space="preserve">Millaisessa oppimisympäristössä oppiminen tapahtui? Oliko oppimistilanteesi </w:t>
      </w:r>
      <w:r w:rsidRPr="00EF6784">
        <w:rPr>
          <w:rFonts w:cstheme="minorHAnsi"/>
          <w:bCs/>
          <w:sz w:val="24"/>
          <w:szCs w:val="24"/>
        </w:rPr>
        <w:t xml:space="preserve">formaali vai </w:t>
      </w:r>
      <w:proofErr w:type="spellStart"/>
      <w:r w:rsidRPr="00EF6784">
        <w:rPr>
          <w:rStyle w:val="spelle"/>
          <w:rFonts w:asciiTheme="minorHAnsi" w:eastAsiaTheme="majorEastAsia" w:hAnsiTheme="minorHAnsi" w:cstheme="minorHAnsi"/>
          <w:bCs/>
          <w:sz w:val="24"/>
          <w:szCs w:val="24"/>
        </w:rPr>
        <w:t>informaali</w:t>
      </w:r>
      <w:proofErr w:type="spellEnd"/>
      <w:r w:rsidRPr="00EF6784">
        <w:rPr>
          <w:rStyle w:val="spelle"/>
          <w:rFonts w:asciiTheme="minorHAnsi" w:eastAsiaTheme="majorEastAsia" w:hAnsiTheme="minorHAnsi" w:cstheme="minorHAnsi"/>
          <w:bCs/>
          <w:sz w:val="24"/>
          <w:szCs w:val="24"/>
        </w:rPr>
        <w:t>?</w:t>
      </w:r>
    </w:p>
    <w:p w:rsidR="00FE3C91" w:rsidRDefault="00FE3C91" w:rsidP="00FE3C91">
      <w:pPr>
        <w:pStyle w:val="ListParagraph"/>
        <w:numPr>
          <w:ilvl w:val="0"/>
          <w:numId w:val="1"/>
        </w:numPr>
        <w:rPr>
          <w:sz w:val="24"/>
          <w:szCs w:val="24"/>
        </w:rPr>
      </w:pPr>
      <w:r>
        <w:rPr>
          <w:bCs/>
          <w:sz w:val="24"/>
          <w:szCs w:val="24"/>
        </w:rPr>
        <w:t>Mistä tiedät oppineesi?</w:t>
      </w:r>
    </w:p>
    <w:p w:rsidR="00FE3C91" w:rsidRDefault="00FE3C91" w:rsidP="00FE3C91">
      <w:pPr>
        <w:pStyle w:val="ListParagraph"/>
        <w:numPr>
          <w:ilvl w:val="0"/>
          <w:numId w:val="1"/>
        </w:numPr>
        <w:rPr>
          <w:sz w:val="24"/>
          <w:szCs w:val="24"/>
        </w:rPr>
      </w:pPr>
      <w:r>
        <w:rPr>
          <w:bCs/>
          <w:sz w:val="24"/>
          <w:szCs w:val="24"/>
        </w:rPr>
        <w:t xml:space="preserve">Liittyykö oppimiskokemuksiisi haasteita? Kuinka yksilöllisyys oppimisessa on otettu huomioon? </w:t>
      </w:r>
    </w:p>
    <w:p w:rsidR="00FE3C91" w:rsidRDefault="00FE3C91" w:rsidP="00FE3C91">
      <w:pPr>
        <w:pStyle w:val="ListParagraph"/>
        <w:numPr>
          <w:ilvl w:val="0"/>
          <w:numId w:val="1"/>
        </w:numPr>
        <w:rPr>
          <w:sz w:val="24"/>
          <w:szCs w:val="24"/>
        </w:rPr>
      </w:pPr>
      <w:r>
        <w:rPr>
          <w:bCs/>
          <w:sz w:val="24"/>
          <w:szCs w:val="24"/>
        </w:rPr>
        <w:t>Miten oppimistasi on ohjattu? Millaista tukea sait?</w:t>
      </w:r>
    </w:p>
    <w:p w:rsidR="00FE3C91" w:rsidRDefault="00FE3C91" w:rsidP="00FE3C91">
      <w:pPr>
        <w:pStyle w:val="ListParagraph"/>
        <w:numPr>
          <w:ilvl w:val="0"/>
          <w:numId w:val="1"/>
        </w:numPr>
        <w:rPr>
          <w:sz w:val="24"/>
          <w:szCs w:val="24"/>
        </w:rPr>
      </w:pPr>
      <w:r>
        <w:rPr>
          <w:bCs/>
          <w:sz w:val="24"/>
          <w:szCs w:val="24"/>
        </w:rPr>
        <w:t>Miten oppimistasi on arvioitu?</w:t>
      </w:r>
    </w:p>
    <w:p w:rsidR="00FE3C91" w:rsidRDefault="00EF6784" w:rsidP="00EF6784">
      <w:pPr>
        <w:rPr>
          <w:sz w:val="24"/>
          <w:szCs w:val="24"/>
        </w:rPr>
      </w:pPr>
      <w:r>
        <w:rPr>
          <w:bCs/>
          <w:sz w:val="24"/>
          <w:szCs w:val="24"/>
        </w:rPr>
        <w:t xml:space="preserve">Palauta esseesi </w:t>
      </w:r>
      <w:r w:rsidR="001E681D">
        <w:rPr>
          <w:bCs/>
          <w:sz w:val="24"/>
          <w:szCs w:val="24"/>
        </w:rPr>
        <w:t xml:space="preserve">26.11.2017 </w:t>
      </w:r>
      <w:r>
        <w:rPr>
          <w:bCs/>
          <w:sz w:val="24"/>
          <w:szCs w:val="24"/>
        </w:rPr>
        <w:t xml:space="preserve">mennessä </w:t>
      </w:r>
      <w:proofErr w:type="spellStart"/>
      <w:r>
        <w:rPr>
          <w:bCs/>
          <w:sz w:val="24"/>
          <w:szCs w:val="24"/>
        </w:rPr>
        <w:t>Peda.netin</w:t>
      </w:r>
      <w:proofErr w:type="spellEnd"/>
      <w:r>
        <w:rPr>
          <w:bCs/>
          <w:sz w:val="24"/>
          <w:szCs w:val="24"/>
        </w:rPr>
        <w:t xml:space="preserve"> palautuskansioon.</w:t>
      </w:r>
    </w:p>
    <w:p w:rsidR="00EF6784" w:rsidRDefault="00EF6784" w:rsidP="00EF6784">
      <w:pPr>
        <w:rPr>
          <w:sz w:val="24"/>
          <w:szCs w:val="24"/>
        </w:rPr>
      </w:pPr>
    </w:p>
    <w:p w:rsidR="00EF6784" w:rsidRDefault="00EF6784" w:rsidP="00EF6784">
      <w:pPr>
        <w:rPr>
          <w:sz w:val="24"/>
          <w:szCs w:val="24"/>
        </w:rPr>
      </w:pPr>
    </w:p>
    <w:p w:rsidR="00382D09" w:rsidRDefault="00382D09" w:rsidP="00382D09">
      <w:pPr>
        <w:rPr>
          <w:sz w:val="24"/>
          <w:szCs w:val="24"/>
        </w:rPr>
      </w:pPr>
    </w:p>
    <w:p w:rsidR="00866F77" w:rsidRDefault="00866F77" w:rsidP="00866F77">
      <w:pPr>
        <w:pStyle w:val="Heading1"/>
      </w:pPr>
      <w:r>
        <w:t xml:space="preserve">ESSEEN </w:t>
      </w:r>
      <w:r>
        <w:t>ARVIOINTIKRITEERIT KTKP010</w:t>
      </w:r>
    </w:p>
    <w:p w:rsidR="00866F77" w:rsidRDefault="00866F77" w:rsidP="00866F77">
      <w:pPr>
        <w:pStyle w:val="Heading1"/>
      </w:pPr>
      <w:r>
        <w:t> </w:t>
      </w:r>
    </w:p>
    <w:p w:rsidR="00866F77" w:rsidRDefault="00866F77" w:rsidP="00866F77">
      <w:pPr>
        <w:rPr>
          <w:sz w:val="24"/>
          <w:szCs w:val="24"/>
        </w:rPr>
      </w:pPr>
      <w:r>
        <w:rPr>
          <w:b/>
          <w:bCs/>
          <w:sz w:val="24"/>
          <w:szCs w:val="24"/>
        </w:rPr>
        <w:t xml:space="preserve">Erinomainen 5: </w:t>
      </w:r>
      <w:r>
        <w:rPr>
          <w:sz w:val="24"/>
          <w:szCs w:val="24"/>
        </w:rPr>
        <w:t>Oppimiskokemuksia koskevat havainnot ovat täsmällisiä ja osuvia. Päätelmät ovat oivaltavia, ja ne on perusteltu vakuuttavasti kirjallisuuden, havaintojen ja kurssilla käsiteltyjen teemaa koskevien sisältöjen avulla. Käsitteet on valittu asiantuntevasti ja niitä on käytetty ansiokkaasti pohdintaan ja tulkintaan. Teksti on viimeisteltyä ja sen kokonaisrakenne on johdonmukainen.</w:t>
      </w:r>
    </w:p>
    <w:p w:rsidR="00866F77" w:rsidRDefault="00866F77" w:rsidP="00866F77">
      <w:pPr>
        <w:rPr>
          <w:sz w:val="24"/>
          <w:szCs w:val="24"/>
        </w:rPr>
      </w:pPr>
    </w:p>
    <w:p w:rsidR="00866F77" w:rsidRDefault="00866F77" w:rsidP="00866F77">
      <w:pPr>
        <w:rPr>
          <w:sz w:val="24"/>
          <w:szCs w:val="24"/>
        </w:rPr>
      </w:pPr>
      <w:r>
        <w:rPr>
          <w:b/>
          <w:bCs/>
          <w:sz w:val="24"/>
          <w:szCs w:val="24"/>
        </w:rPr>
        <w:t xml:space="preserve">Kiitettävä 4: </w:t>
      </w:r>
      <w:r>
        <w:rPr>
          <w:sz w:val="24"/>
          <w:szCs w:val="24"/>
        </w:rPr>
        <w:t>Oppimiskokemusten analyysissa on nostettu esille keskeisiä havaintoja valitusta näkökulmasta, ja niitä on tarkasteltu osuvasti ja niiden yhtymäkohdat kirjallisuuteen sekä kurssin sisältöihin on osoitettu. Päätelmiä on perusteltu vakuuttavasti kirjallisuuden avulla. Teksti on rakenteeltaan selkeä ja ehyt kokonaisuus.</w:t>
      </w:r>
    </w:p>
    <w:p w:rsidR="00866F77" w:rsidRDefault="00866F77" w:rsidP="00866F77">
      <w:pPr>
        <w:rPr>
          <w:sz w:val="24"/>
          <w:szCs w:val="24"/>
        </w:rPr>
      </w:pPr>
    </w:p>
    <w:p w:rsidR="00866F77" w:rsidRDefault="00866F77" w:rsidP="00866F77">
      <w:pPr>
        <w:rPr>
          <w:sz w:val="24"/>
          <w:szCs w:val="24"/>
        </w:rPr>
      </w:pPr>
      <w:r>
        <w:rPr>
          <w:b/>
          <w:bCs/>
          <w:sz w:val="24"/>
          <w:szCs w:val="24"/>
        </w:rPr>
        <w:t xml:space="preserve">Hyvä 3: </w:t>
      </w:r>
      <w:r>
        <w:rPr>
          <w:sz w:val="24"/>
          <w:szCs w:val="24"/>
        </w:rPr>
        <w:t>Oppimiskokemukset on tunnistettu ja kuvattu johdonmukaisesti. Oppimiskokemuksen teoreettinen analyysi jää kuvauksen tasolle. Kirjallisuudesta ja kurssin sisällöistä poimittuja havaintoja ja omia ajatuksia on yhdistetty toisiinsa. Tekstin jäsentely on suhteellisen selkeä.</w:t>
      </w:r>
    </w:p>
    <w:p w:rsidR="00866F77" w:rsidRDefault="00866F77" w:rsidP="00866F77">
      <w:pPr>
        <w:rPr>
          <w:sz w:val="24"/>
          <w:szCs w:val="24"/>
        </w:rPr>
      </w:pPr>
    </w:p>
    <w:p w:rsidR="00866F77" w:rsidRDefault="00866F77" w:rsidP="00866F77">
      <w:pPr>
        <w:rPr>
          <w:sz w:val="24"/>
          <w:szCs w:val="24"/>
        </w:rPr>
      </w:pPr>
      <w:r>
        <w:rPr>
          <w:b/>
          <w:bCs/>
          <w:sz w:val="24"/>
          <w:szCs w:val="24"/>
        </w:rPr>
        <w:t>Tyydyttävä 2:</w:t>
      </w:r>
      <w:r>
        <w:rPr>
          <w:sz w:val="24"/>
          <w:szCs w:val="24"/>
        </w:rPr>
        <w:t xml:space="preserve"> Oppimiskokemuksen analyysia koskevat havainnot ovat sattumanvaraisia. Päätelmät ovat yksioikoisia tai perustelemattomia. Kirjallisuudesta ja kurssin sisällöistä on poimittu yksittäisiä ja pinnallisia havaintoja. Tekstin jäsentely on horjuvaa.</w:t>
      </w:r>
    </w:p>
    <w:p w:rsidR="00866F77" w:rsidRDefault="00866F77" w:rsidP="00866F77">
      <w:pPr>
        <w:rPr>
          <w:sz w:val="24"/>
          <w:szCs w:val="24"/>
        </w:rPr>
      </w:pPr>
    </w:p>
    <w:p w:rsidR="00866F77" w:rsidRDefault="00866F77" w:rsidP="00866F77">
      <w:pPr>
        <w:rPr>
          <w:sz w:val="24"/>
          <w:szCs w:val="24"/>
        </w:rPr>
      </w:pPr>
      <w:r>
        <w:rPr>
          <w:b/>
          <w:bCs/>
          <w:sz w:val="24"/>
          <w:szCs w:val="24"/>
        </w:rPr>
        <w:t>Välttävä 1:</w:t>
      </w:r>
      <w:r>
        <w:rPr>
          <w:sz w:val="24"/>
          <w:szCs w:val="24"/>
        </w:rPr>
        <w:t xml:space="preserve"> Oppimiskokemuksiin liittyvät havainnot ovat hajanaisia. Teorian käyttö satunnaista ja epätarkoituksenmukaista kurssin sisältöjen ja oppimiskokemuksen analyysin kannalta. Valittua näkökulmaa koskevat havainnot eivät ole tehtävänannon mukaisia. Päätelmät puuttuvat. Sisältö on kirjallisuuden suoraa kopiointia. Käsitteiden käyttö on vajavaista. Teksti on heikosti jäsennelty.</w:t>
      </w:r>
    </w:p>
    <w:p w:rsidR="00866F77" w:rsidRDefault="00866F77" w:rsidP="00866F77">
      <w:pPr>
        <w:rPr>
          <w:sz w:val="24"/>
          <w:szCs w:val="24"/>
        </w:rPr>
      </w:pPr>
    </w:p>
    <w:p w:rsidR="00866F77" w:rsidRDefault="00866F77" w:rsidP="00866F77">
      <w:pPr>
        <w:rPr>
          <w:sz w:val="24"/>
          <w:szCs w:val="24"/>
        </w:rPr>
      </w:pPr>
      <w:r>
        <w:rPr>
          <w:b/>
          <w:bCs/>
          <w:sz w:val="24"/>
          <w:szCs w:val="24"/>
        </w:rPr>
        <w:t xml:space="preserve">Hylätty 0: </w:t>
      </w:r>
      <w:r>
        <w:rPr>
          <w:sz w:val="24"/>
          <w:szCs w:val="24"/>
        </w:rPr>
        <w:t xml:space="preserve">Arvosanan 1 kriteerit eivät täyty. </w:t>
      </w:r>
    </w:p>
    <w:p w:rsidR="00866F77" w:rsidRDefault="00866F77" w:rsidP="00866F77"/>
    <w:p w:rsidR="00866F77" w:rsidRDefault="00866F77" w:rsidP="00866F77">
      <w:bookmarkStart w:id="0" w:name="_GoBack"/>
      <w:bookmarkEnd w:id="0"/>
    </w:p>
    <w:sectPr w:rsidR="00866F77" w:rsidSect="004A158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0303"/>
    <w:multiLevelType w:val="hybridMultilevel"/>
    <w:tmpl w:val="664249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762E9A"/>
    <w:multiLevelType w:val="multilevel"/>
    <w:tmpl w:val="03C4BC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C8040AF"/>
    <w:multiLevelType w:val="hybridMultilevel"/>
    <w:tmpl w:val="8160DADC"/>
    <w:lvl w:ilvl="0" w:tplc="A13C0452">
      <w:start w:val="1"/>
      <w:numFmt w:val="bullet"/>
      <w:lvlText w:val="—"/>
      <w:lvlJc w:val="left"/>
      <w:pPr>
        <w:ind w:left="720" w:hanging="360"/>
      </w:pPr>
      <w:rPr>
        <w:rFonts w:ascii="Trebuchet MS" w:hAnsi="Trebuchet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D12144E"/>
    <w:multiLevelType w:val="hybridMultilevel"/>
    <w:tmpl w:val="4148C8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9170B"/>
    <w:multiLevelType w:val="hybridMultilevel"/>
    <w:tmpl w:val="02CA6B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6EB0886"/>
    <w:multiLevelType w:val="hybridMultilevel"/>
    <w:tmpl w:val="8A8248C8"/>
    <w:lvl w:ilvl="0" w:tplc="095AFE5A">
      <w:numFmt w:val="bullet"/>
      <w:lvlText w:val="-"/>
      <w:lvlJc w:val="left"/>
      <w:pPr>
        <w:ind w:left="1035" w:hanging="675"/>
      </w:pPr>
      <w:rPr>
        <w:rFonts w:ascii="Calibri" w:eastAsia="Times New Roman" w:hAnsi="Calibri"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6AE17968"/>
    <w:multiLevelType w:val="hybridMultilevel"/>
    <w:tmpl w:val="C00C3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7F425D5C"/>
    <w:multiLevelType w:val="hybridMultilevel"/>
    <w:tmpl w:val="C79A1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6"/>
  </w:num>
  <w:num w:numId="4">
    <w:abstractNumId w:val="7"/>
  </w:num>
  <w:num w:numId="5">
    <w:abstractNumId w:val="8"/>
  </w:num>
  <w:num w:numId="6">
    <w:abstractNumId w:val="1"/>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91"/>
    <w:rsid w:val="00030CA2"/>
    <w:rsid w:val="0008110E"/>
    <w:rsid w:val="0008262A"/>
    <w:rsid w:val="000A3847"/>
    <w:rsid w:val="000B5138"/>
    <w:rsid w:val="000C02D6"/>
    <w:rsid w:val="000D4E3B"/>
    <w:rsid w:val="000E275C"/>
    <w:rsid w:val="00105DB3"/>
    <w:rsid w:val="00122D0A"/>
    <w:rsid w:val="00123E9A"/>
    <w:rsid w:val="0013298F"/>
    <w:rsid w:val="00165F17"/>
    <w:rsid w:val="0018553A"/>
    <w:rsid w:val="001E681D"/>
    <w:rsid w:val="001E7BD8"/>
    <w:rsid w:val="001F542A"/>
    <w:rsid w:val="00207CDF"/>
    <w:rsid w:val="00213FCB"/>
    <w:rsid w:val="00226CE9"/>
    <w:rsid w:val="002452B5"/>
    <w:rsid w:val="00276CC4"/>
    <w:rsid w:val="0028638B"/>
    <w:rsid w:val="002942E1"/>
    <w:rsid w:val="00295CCD"/>
    <w:rsid w:val="002966DD"/>
    <w:rsid w:val="002A1578"/>
    <w:rsid w:val="002A4C55"/>
    <w:rsid w:val="002C5371"/>
    <w:rsid w:val="002C7921"/>
    <w:rsid w:val="002E63F5"/>
    <w:rsid w:val="002F329E"/>
    <w:rsid w:val="002F65D1"/>
    <w:rsid w:val="0030476F"/>
    <w:rsid w:val="00330C29"/>
    <w:rsid w:val="00334471"/>
    <w:rsid w:val="00364DF5"/>
    <w:rsid w:val="00382D09"/>
    <w:rsid w:val="0039542F"/>
    <w:rsid w:val="003B19E2"/>
    <w:rsid w:val="003B3EAB"/>
    <w:rsid w:val="003C6FDD"/>
    <w:rsid w:val="003D126C"/>
    <w:rsid w:val="003E49E1"/>
    <w:rsid w:val="003F3896"/>
    <w:rsid w:val="00415D0C"/>
    <w:rsid w:val="00426082"/>
    <w:rsid w:val="00426E0B"/>
    <w:rsid w:val="00430612"/>
    <w:rsid w:val="004310CF"/>
    <w:rsid w:val="004411BC"/>
    <w:rsid w:val="00441B25"/>
    <w:rsid w:val="00451CD0"/>
    <w:rsid w:val="00467E7E"/>
    <w:rsid w:val="00482A90"/>
    <w:rsid w:val="00491545"/>
    <w:rsid w:val="004970AD"/>
    <w:rsid w:val="004A158E"/>
    <w:rsid w:val="004A2AD3"/>
    <w:rsid w:val="004B1F68"/>
    <w:rsid w:val="004D29AF"/>
    <w:rsid w:val="004D3E94"/>
    <w:rsid w:val="004D7F00"/>
    <w:rsid w:val="004F22F9"/>
    <w:rsid w:val="00506BF8"/>
    <w:rsid w:val="00517E5D"/>
    <w:rsid w:val="00531EBD"/>
    <w:rsid w:val="005613D1"/>
    <w:rsid w:val="00567480"/>
    <w:rsid w:val="00573E53"/>
    <w:rsid w:val="00574CCE"/>
    <w:rsid w:val="00576231"/>
    <w:rsid w:val="005838D2"/>
    <w:rsid w:val="0058651E"/>
    <w:rsid w:val="005A2686"/>
    <w:rsid w:val="005B15D7"/>
    <w:rsid w:val="005C3960"/>
    <w:rsid w:val="005D0F3E"/>
    <w:rsid w:val="005D627C"/>
    <w:rsid w:val="006028C6"/>
    <w:rsid w:val="00605244"/>
    <w:rsid w:val="006144F5"/>
    <w:rsid w:val="00643E7B"/>
    <w:rsid w:val="006517FE"/>
    <w:rsid w:val="00653EE4"/>
    <w:rsid w:val="00655BEE"/>
    <w:rsid w:val="00685FE7"/>
    <w:rsid w:val="006A0724"/>
    <w:rsid w:val="006A1B51"/>
    <w:rsid w:val="006B1D98"/>
    <w:rsid w:val="006B3CBB"/>
    <w:rsid w:val="006B539E"/>
    <w:rsid w:val="006C4FFC"/>
    <w:rsid w:val="006E3C5D"/>
    <w:rsid w:val="006F09D7"/>
    <w:rsid w:val="006F7D24"/>
    <w:rsid w:val="007047CF"/>
    <w:rsid w:val="0077091C"/>
    <w:rsid w:val="00775796"/>
    <w:rsid w:val="007A669E"/>
    <w:rsid w:val="007F5178"/>
    <w:rsid w:val="00805DF3"/>
    <w:rsid w:val="00812E34"/>
    <w:rsid w:val="00866275"/>
    <w:rsid w:val="00866F77"/>
    <w:rsid w:val="008731AC"/>
    <w:rsid w:val="008913DF"/>
    <w:rsid w:val="008C2544"/>
    <w:rsid w:val="008C7FC3"/>
    <w:rsid w:val="008E2801"/>
    <w:rsid w:val="008F78EB"/>
    <w:rsid w:val="009031A0"/>
    <w:rsid w:val="009145E8"/>
    <w:rsid w:val="00941407"/>
    <w:rsid w:val="009530DA"/>
    <w:rsid w:val="00965775"/>
    <w:rsid w:val="0096636A"/>
    <w:rsid w:val="00977544"/>
    <w:rsid w:val="009779E7"/>
    <w:rsid w:val="009F282E"/>
    <w:rsid w:val="009F3EE3"/>
    <w:rsid w:val="00A734DA"/>
    <w:rsid w:val="00A902FD"/>
    <w:rsid w:val="00AA1873"/>
    <w:rsid w:val="00AB5948"/>
    <w:rsid w:val="00AC5BE5"/>
    <w:rsid w:val="00AC7D3D"/>
    <w:rsid w:val="00AD74BB"/>
    <w:rsid w:val="00AE4E0F"/>
    <w:rsid w:val="00AF7A16"/>
    <w:rsid w:val="00B0092C"/>
    <w:rsid w:val="00B377D1"/>
    <w:rsid w:val="00B40BE1"/>
    <w:rsid w:val="00B410AA"/>
    <w:rsid w:val="00B42B1A"/>
    <w:rsid w:val="00B539D4"/>
    <w:rsid w:val="00B7468C"/>
    <w:rsid w:val="00BB4D17"/>
    <w:rsid w:val="00BC421A"/>
    <w:rsid w:val="00BF72E8"/>
    <w:rsid w:val="00C0617D"/>
    <w:rsid w:val="00C21FE8"/>
    <w:rsid w:val="00C260DE"/>
    <w:rsid w:val="00C619AC"/>
    <w:rsid w:val="00C71D62"/>
    <w:rsid w:val="00CA5228"/>
    <w:rsid w:val="00CB0455"/>
    <w:rsid w:val="00D21C5F"/>
    <w:rsid w:val="00D259D9"/>
    <w:rsid w:val="00D301F0"/>
    <w:rsid w:val="00D55BCA"/>
    <w:rsid w:val="00D62693"/>
    <w:rsid w:val="00D82511"/>
    <w:rsid w:val="00DA56AC"/>
    <w:rsid w:val="00DA7B9B"/>
    <w:rsid w:val="00DB245B"/>
    <w:rsid w:val="00DB2CAB"/>
    <w:rsid w:val="00DB388D"/>
    <w:rsid w:val="00DC7D7D"/>
    <w:rsid w:val="00DD76FD"/>
    <w:rsid w:val="00E041E0"/>
    <w:rsid w:val="00E169CE"/>
    <w:rsid w:val="00E175A8"/>
    <w:rsid w:val="00E17C91"/>
    <w:rsid w:val="00E20CC5"/>
    <w:rsid w:val="00E34881"/>
    <w:rsid w:val="00E41828"/>
    <w:rsid w:val="00E50417"/>
    <w:rsid w:val="00E536C7"/>
    <w:rsid w:val="00E57DBC"/>
    <w:rsid w:val="00E6415E"/>
    <w:rsid w:val="00E64DD0"/>
    <w:rsid w:val="00E80E7D"/>
    <w:rsid w:val="00E84B7E"/>
    <w:rsid w:val="00E931C7"/>
    <w:rsid w:val="00EF1F8C"/>
    <w:rsid w:val="00EF6784"/>
    <w:rsid w:val="00F124BC"/>
    <w:rsid w:val="00F32C62"/>
    <w:rsid w:val="00F565F2"/>
    <w:rsid w:val="00F60CAB"/>
    <w:rsid w:val="00F85B25"/>
    <w:rsid w:val="00FC0BF1"/>
    <w:rsid w:val="00FD049F"/>
    <w:rsid w:val="00FE3C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CFDD"/>
  <w15:chartTrackingRefBased/>
  <w15:docId w15:val="{453D29FE-FD2E-4E6F-90FF-598796D1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91"/>
    <w:pPr>
      <w:spacing w:after="0" w:line="240" w:lineRule="auto"/>
    </w:pPr>
    <w:rPr>
      <w:rFonts w:ascii="Calibri" w:eastAsia="Times New Roman" w:hAnsi="Calibri" w:cs="Times New Roman"/>
      <w:lang w:eastAsia="fi-FI"/>
    </w:rPr>
  </w:style>
  <w:style w:type="paragraph" w:styleId="Heading1">
    <w:name w:val="heading 1"/>
    <w:basedOn w:val="Normal"/>
    <w:next w:val="Normal"/>
    <w:link w:val="Heading1Char"/>
    <w:uiPriority w:val="9"/>
    <w:qFormat/>
    <w:rsid w:val="00FE3C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F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6F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91"/>
    <w:pPr>
      <w:spacing w:after="200" w:line="276" w:lineRule="auto"/>
      <w:ind w:left="720"/>
      <w:contextualSpacing/>
    </w:pPr>
    <w:rPr>
      <w:rFonts w:asciiTheme="minorHAnsi" w:hAnsiTheme="minorHAnsi"/>
      <w:lang w:eastAsia="en-US"/>
    </w:rPr>
  </w:style>
  <w:style w:type="character" w:customStyle="1" w:styleId="spelle">
    <w:name w:val="spelle"/>
    <w:basedOn w:val="DefaultParagraphFont"/>
    <w:rsid w:val="00FE3C91"/>
    <w:rPr>
      <w:rFonts w:ascii="Times New Roman" w:hAnsi="Times New Roman" w:cs="Times New Roman" w:hint="default"/>
    </w:rPr>
  </w:style>
  <w:style w:type="character" w:customStyle="1" w:styleId="Heading1Char">
    <w:name w:val="Heading 1 Char"/>
    <w:basedOn w:val="DefaultParagraphFont"/>
    <w:link w:val="Heading1"/>
    <w:uiPriority w:val="9"/>
    <w:rsid w:val="00FE3C91"/>
    <w:rPr>
      <w:rFonts w:asciiTheme="majorHAnsi" w:eastAsiaTheme="majorEastAsia" w:hAnsiTheme="majorHAnsi" w:cstheme="majorBidi"/>
      <w:color w:val="2E74B5" w:themeColor="accent1" w:themeShade="BF"/>
      <w:sz w:val="32"/>
      <w:szCs w:val="32"/>
      <w:lang w:eastAsia="fi-FI"/>
    </w:rPr>
  </w:style>
  <w:style w:type="paragraph" w:styleId="Title">
    <w:name w:val="Title"/>
    <w:basedOn w:val="Normal"/>
    <w:next w:val="Normal"/>
    <w:link w:val="TitleChar"/>
    <w:uiPriority w:val="10"/>
    <w:qFormat/>
    <w:rsid w:val="00FE3C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91"/>
    <w:rPr>
      <w:rFonts w:asciiTheme="majorHAnsi" w:eastAsiaTheme="majorEastAsia" w:hAnsiTheme="majorHAnsi" w:cstheme="majorBidi"/>
      <w:spacing w:val="-10"/>
      <w:kern w:val="28"/>
      <w:sz w:val="56"/>
      <w:szCs w:val="56"/>
      <w:lang w:eastAsia="fi-FI"/>
    </w:rPr>
  </w:style>
  <w:style w:type="paragraph" w:customStyle="1" w:styleId="Default">
    <w:name w:val="Default"/>
    <w:rsid w:val="004A158E"/>
    <w:pPr>
      <w:autoSpaceDE w:val="0"/>
      <w:autoSpaceDN w:val="0"/>
      <w:adjustRightInd w:val="0"/>
      <w:spacing w:after="0" w:line="240" w:lineRule="auto"/>
    </w:pPr>
    <w:rPr>
      <w:rFonts w:ascii="Palatino Linotype" w:eastAsia="Times New Roman" w:hAnsi="Palatino Linotype" w:cs="Palatino Linotype"/>
      <w:color w:val="000000"/>
      <w:sz w:val="24"/>
      <w:szCs w:val="24"/>
      <w:lang w:eastAsia="fi-FI"/>
    </w:rPr>
  </w:style>
  <w:style w:type="table" w:styleId="GridTable4-Accent6">
    <w:name w:val="Grid Table 4 Accent 6"/>
    <w:basedOn w:val="TableNormal"/>
    <w:uiPriority w:val="49"/>
    <w:rsid w:val="004A158E"/>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link w:val="BodyTextChar"/>
    <w:rsid w:val="004A158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i-FI"/>
    </w:rPr>
  </w:style>
  <w:style w:type="character" w:customStyle="1" w:styleId="BodyTextChar">
    <w:name w:val="Body Text Char"/>
    <w:basedOn w:val="DefaultParagraphFont"/>
    <w:link w:val="BodyText"/>
    <w:rsid w:val="004A158E"/>
    <w:rPr>
      <w:rFonts w:ascii="Times New Roman" w:eastAsia="Arial Unicode MS" w:hAnsi="Arial Unicode MS" w:cs="Arial Unicode MS"/>
      <w:color w:val="000000"/>
      <w:sz w:val="24"/>
      <w:szCs w:val="24"/>
      <w:u w:color="000000"/>
      <w:bdr w:val="nil"/>
      <w:lang w:eastAsia="fi-FI"/>
    </w:rPr>
  </w:style>
  <w:style w:type="character" w:customStyle="1" w:styleId="Heading3Char">
    <w:name w:val="Heading 3 Char"/>
    <w:basedOn w:val="DefaultParagraphFont"/>
    <w:link w:val="Heading3"/>
    <w:uiPriority w:val="9"/>
    <w:rsid w:val="00866F77"/>
    <w:rPr>
      <w:rFonts w:asciiTheme="majorHAnsi" w:eastAsiaTheme="majorEastAsia" w:hAnsiTheme="majorHAnsi" w:cstheme="majorBidi"/>
      <w:color w:val="1F4D78" w:themeColor="accent1" w:themeShade="7F"/>
      <w:sz w:val="24"/>
      <w:szCs w:val="24"/>
      <w:lang w:eastAsia="fi-FI"/>
    </w:rPr>
  </w:style>
  <w:style w:type="paragraph" w:styleId="NormalWeb">
    <w:name w:val="Normal (Web)"/>
    <w:basedOn w:val="Normal"/>
    <w:uiPriority w:val="99"/>
    <w:unhideWhenUsed/>
    <w:rsid w:val="00866F77"/>
    <w:pPr>
      <w:spacing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866F77"/>
    <w:rPr>
      <w:rFonts w:asciiTheme="majorHAnsi" w:eastAsiaTheme="majorEastAsia" w:hAnsiTheme="majorHAnsi" w:cstheme="majorBidi"/>
      <w:color w:val="2E74B5" w:themeColor="accent1" w:themeShade="BF"/>
      <w:sz w:val="26"/>
      <w:szCs w:val="2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9209">
      <w:bodyDiv w:val="1"/>
      <w:marLeft w:val="0"/>
      <w:marRight w:val="0"/>
      <w:marTop w:val="0"/>
      <w:marBottom w:val="0"/>
      <w:divBdr>
        <w:top w:val="none" w:sz="0" w:space="0" w:color="auto"/>
        <w:left w:val="none" w:sz="0" w:space="0" w:color="auto"/>
        <w:bottom w:val="none" w:sz="0" w:space="0" w:color="auto"/>
        <w:right w:val="none" w:sz="0" w:space="0" w:color="auto"/>
      </w:divBdr>
    </w:div>
    <w:div w:id="1523276051">
      <w:bodyDiv w:val="1"/>
      <w:marLeft w:val="0"/>
      <w:marRight w:val="0"/>
      <w:marTop w:val="0"/>
      <w:marBottom w:val="0"/>
      <w:divBdr>
        <w:top w:val="none" w:sz="0" w:space="0" w:color="auto"/>
        <w:left w:val="none" w:sz="0" w:space="0" w:color="auto"/>
        <w:bottom w:val="none" w:sz="0" w:space="0" w:color="auto"/>
        <w:right w:val="none" w:sz="0" w:space="0" w:color="auto"/>
      </w:divBdr>
      <w:divsChild>
        <w:div w:id="238684483">
          <w:marLeft w:val="0"/>
          <w:marRight w:val="0"/>
          <w:marTop w:val="0"/>
          <w:marBottom w:val="0"/>
          <w:divBdr>
            <w:top w:val="none" w:sz="0" w:space="0" w:color="auto"/>
            <w:left w:val="none" w:sz="0" w:space="0" w:color="auto"/>
            <w:bottom w:val="none" w:sz="0" w:space="0" w:color="auto"/>
            <w:right w:val="none" w:sz="0" w:space="0" w:color="auto"/>
          </w:divBdr>
          <w:divsChild>
            <w:div w:id="944732145">
              <w:marLeft w:val="-300"/>
              <w:marRight w:val="-300"/>
              <w:marTop w:val="0"/>
              <w:marBottom w:val="0"/>
              <w:divBdr>
                <w:top w:val="none" w:sz="0" w:space="0" w:color="auto"/>
                <w:left w:val="none" w:sz="0" w:space="0" w:color="auto"/>
                <w:bottom w:val="none" w:sz="0" w:space="0" w:color="auto"/>
                <w:right w:val="none" w:sz="0" w:space="0" w:color="auto"/>
              </w:divBdr>
              <w:divsChild>
                <w:div w:id="795567910">
                  <w:marLeft w:val="0"/>
                  <w:marRight w:val="0"/>
                  <w:marTop w:val="0"/>
                  <w:marBottom w:val="0"/>
                  <w:divBdr>
                    <w:top w:val="none" w:sz="0" w:space="0" w:color="auto"/>
                    <w:left w:val="none" w:sz="0" w:space="0" w:color="auto"/>
                    <w:bottom w:val="none" w:sz="0" w:space="0" w:color="auto"/>
                    <w:right w:val="none" w:sz="0" w:space="0" w:color="auto"/>
                  </w:divBdr>
                  <w:divsChild>
                    <w:div w:id="1305355037">
                      <w:marLeft w:val="0"/>
                      <w:marRight w:val="0"/>
                      <w:marTop w:val="0"/>
                      <w:marBottom w:val="0"/>
                      <w:divBdr>
                        <w:top w:val="none" w:sz="0" w:space="0" w:color="auto"/>
                        <w:left w:val="none" w:sz="0" w:space="0" w:color="auto"/>
                        <w:bottom w:val="none" w:sz="0" w:space="0" w:color="auto"/>
                        <w:right w:val="none" w:sz="0" w:space="0" w:color="auto"/>
                      </w:divBdr>
                      <w:divsChild>
                        <w:div w:id="1702591085">
                          <w:marLeft w:val="0"/>
                          <w:marRight w:val="0"/>
                          <w:marTop w:val="0"/>
                          <w:marBottom w:val="0"/>
                          <w:divBdr>
                            <w:top w:val="none" w:sz="0" w:space="0" w:color="auto"/>
                            <w:left w:val="none" w:sz="0" w:space="0" w:color="auto"/>
                            <w:bottom w:val="none" w:sz="0" w:space="0" w:color="auto"/>
                            <w:right w:val="none" w:sz="0" w:space="0" w:color="auto"/>
                          </w:divBdr>
                          <w:divsChild>
                            <w:div w:id="754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366</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Aalto, Eija</cp:lastModifiedBy>
  <cp:revision>7</cp:revision>
  <dcterms:created xsi:type="dcterms:W3CDTF">2017-10-01T13:07:00Z</dcterms:created>
  <dcterms:modified xsi:type="dcterms:W3CDTF">2017-10-02T06:41:00Z</dcterms:modified>
</cp:coreProperties>
</file>