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57" w:rsidRPr="00B20657" w:rsidRDefault="00B20657" w:rsidP="00B20657">
      <w:pPr>
        <w:shd w:val="clear" w:color="auto" w:fill="FFFFFF"/>
        <w:spacing w:after="180" w:line="510" w:lineRule="atLeast"/>
        <w:outlineLvl w:val="1"/>
        <w:rPr>
          <w:rFonts w:eastAsia="Times New Roman" w:cs="Arial"/>
          <w:b/>
          <w:color w:val="040404"/>
          <w:kern w:val="36"/>
          <w:sz w:val="24"/>
          <w:szCs w:val="24"/>
          <w:lang w:eastAsia="fi-FI"/>
        </w:rPr>
      </w:pPr>
      <w:r w:rsidRPr="00B20657">
        <w:rPr>
          <w:rFonts w:eastAsia="Times New Roman" w:cs="Arial"/>
          <w:b/>
          <w:color w:val="040404"/>
          <w:kern w:val="36"/>
          <w:sz w:val="24"/>
          <w:szCs w:val="24"/>
          <w:lang w:eastAsia="fi-FI"/>
        </w:rPr>
        <w:t>Munuaisten vajaatoiminta ja ravitsemus</w:t>
      </w: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Tärkeä osa munuaisten vajaatoiminna</w:t>
      </w:r>
      <w:r w:rsidR="005F1358">
        <w:rPr>
          <w:rFonts w:eastAsia="Times New Roman" w:cs="Arial"/>
          <w:color w:val="040404"/>
          <w:sz w:val="24"/>
          <w:szCs w:val="24"/>
          <w:lang w:eastAsia="fi-FI"/>
        </w:rPr>
        <w:t xml:space="preserve">n hoitoa on oikea ruokavalio. </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 xml:space="preserve">Vaikka munuaisten vajaatoiminta tuo mukanaan usein rajoitteita, on tärkeää syödä mahdollisimman monipuolisesti. Ruoasta ja ruokailusta saa ja pitää edelleen nauttia. </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Fosfori</w:t>
      </w: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Munuaisten toiminnan huonontuessa niiden kyky erittää fosforia vähenee. Tämän vuoksi fosforin saantia ruoasta on vähennettävä jo munuaisten vajaatoiminnan alkuvaiheessa. Fosforia on runsaasti maito-, täysjyvä- ja lihatuotteissa.</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Veren korkea fosforipitoisuus häiritsee kalkkiaineenvaihduntaa. Korkea fosforitaso ja matala kalsiumtaso aktivoivat lisäkilpirauhasen toimintaa, jolloin lisäkilpirauhashormonia (PTH) erittyy normaalia runsaammin. Liiallinen PTH irrottaa kalsiumia ja fosforia luustosta, mikä aiheuttaa luukatoa, verisuonten kalkkeutumista ja kalkin kertymistä elimistön pehmytosiin.</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Kalium</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Kaliumin vähentämisen tarve on hyvin yksilöllistä, eikä sitä pidä aloittaa ilman lääkärin määräystä. Useimmiten kaliumin saantia ruoasta rajoitetaan vasta, kun munuaisten toiminta on loppunut kokonaan. Korkea kalium-pitoisuus veressä saattaa aiheuttaa lihasjäykkyyttä ja rytmihäiriöitä. Kaliumia on runsaasti kasviksissa, erityisesti perunassa ja hedelmistä banaanissa.</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Suola</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Suolan käytön rajoittaminen on suositeltavaa kaikille, etenkin munuaisten vajaatoimintaa sairastaville. Liiallinen suolan käyttö nostaa verenpainetta, kerää nestettä elimistöön ja lisää sydämen työtaakkaa. Suolaton ruoanvalmistus ja vähäsuolaisten leipien valitseminen ovat keskeisiä keinoja liian suolan välttämisessä.</w:t>
      </w:r>
      <w:r w:rsidR="005F1358">
        <w:rPr>
          <w:rFonts w:eastAsia="Times New Roman" w:cs="Arial"/>
          <w:color w:val="040404"/>
          <w:sz w:val="24"/>
          <w:szCs w:val="24"/>
          <w:lang w:eastAsia="fi-FI"/>
        </w:rPr>
        <w:t xml:space="preserve"> Suositus 5g/vrk.</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Neste</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 xml:space="preserve">Nesteenkäyttöä rajoitetaan yksilöllisesti jäljellä olevan munuaistoiminnan mukaan. Munuaisten kyky suodattaa nestettä riippuu siitä, millä alueella munuaisissa vaurio on. Ylimääräinen nesteen kertyminen aiheuttaa turvotuksia ja hengenahdistusta. </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Proteiini</w:t>
      </w:r>
    </w:p>
    <w:p w:rsid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Munuaisten vajaatoimintaa sairastavan proteiinin tarve muuttuu munuaisten vajaatoiminnan asteen ja hoitomuodon mukaan. Ennen dialyysin aloitusta on joskus syytä vähentää proteiinin saantia. Dialyysissä oleva tarvitsee proteiinia runsaammin.</w:t>
      </w:r>
    </w:p>
    <w:p w:rsidR="005F1358" w:rsidRPr="00B20657" w:rsidRDefault="005F1358" w:rsidP="00B20657">
      <w:pPr>
        <w:shd w:val="clear" w:color="auto" w:fill="FFFFFF"/>
        <w:spacing w:after="0" w:line="240" w:lineRule="auto"/>
        <w:rPr>
          <w:rFonts w:eastAsia="Times New Roman" w:cs="Arial"/>
          <w:color w:val="040404"/>
          <w:sz w:val="24"/>
          <w:szCs w:val="24"/>
          <w:lang w:eastAsia="fi-FI"/>
        </w:rPr>
      </w:pP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b/>
          <w:bCs/>
          <w:color w:val="040404"/>
          <w:sz w:val="24"/>
          <w:szCs w:val="24"/>
          <w:lang w:eastAsia="fi-FI"/>
        </w:rPr>
        <w:t>Painonhallin</w:t>
      </w:r>
      <w:bookmarkStart w:id="0" w:name="_GoBack"/>
      <w:bookmarkEnd w:id="0"/>
      <w:r w:rsidRPr="00B20657">
        <w:rPr>
          <w:rFonts w:eastAsia="Times New Roman" w:cs="Arial"/>
          <w:b/>
          <w:bCs/>
          <w:color w:val="040404"/>
          <w:sz w:val="24"/>
          <w:szCs w:val="24"/>
          <w:lang w:eastAsia="fi-FI"/>
        </w:rPr>
        <w:t>ta</w:t>
      </w:r>
    </w:p>
    <w:p w:rsidR="00B20657" w:rsidRPr="00B20657" w:rsidRDefault="00B20657" w:rsidP="00B20657">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 xml:space="preserve">Energiantarve munuaisten vajaatoiminnassa voi olla alentunut etenkin vähentyneen liikkumisen ja iän vaikutuksesta, mutta sairaus ei sinällään muuta energiantarvetta. </w:t>
      </w:r>
    </w:p>
    <w:p w:rsidR="004422D0" w:rsidRPr="005F1358" w:rsidRDefault="00B20657" w:rsidP="005F1358">
      <w:pPr>
        <w:shd w:val="clear" w:color="auto" w:fill="FFFFFF"/>
        <w:spacing w:after="0" w:line="240" w:lineRule="auto"/>
        <w:rPr>
          <w:rFonts w:eastAsia="Times New Roman" w:cs="Arial"/>
          <w:color w:val="040404"/>
          <w:sz w:val="24"/>
          <w:szCs w:val="24"/>
          <w:lang w:eastAsia="fi-FI"/>
        </w:rPr>
      </w:pPr>
      <w:r w:rsidRPr="00B20657">
        <w:rPr>
          <w:rFonts w:eastAsia="Times New Roman" w:cs="Arial"/>
          <w:color w:val="040404"/>
          <w:sz w:val="24"/>
          <w:szCs w:val="24"/>
          <w:lang w:eastAsia="fi-FI"/>
        </w:rPr>
        <w:t xml:space="preserve">Ylipaino lisää alttiutta sydän- ja verisuonitaudeille, vaikuttaa munuaissairauden etenemiseen ja kokonaisennusteeseen sekä hoitomahdollisuuksiin. Runsas ylipaino on yleensä esteenä vatsakalvodialyysille. Ennen dialyysihoitoa painon pudotus on helpompaa ja nopeuttaa osaltaan pääsyä munuaisensiirtolistalle. Elinsiirtoa ei voi tehdä, jos on runsaasti ylipainoa. Ylipaino on suuri riski leikkauskomplikaatioille. </w:t>
      </w:r>
    </w:p>
    <w:sectPr w:rsidR="004422D0" w:rsidRPr="005F13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64"/>
    <w:rsid w:val="004422D0"/>
    <w:rsid w:val="005F1358"/>
    <w:rsid w:val="00707B06"/>
    <w:rsid w:val="00B20657"/>
    <w:rsid w:val="00EA48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0E2DB-49EA-4C82-9996-41C01C99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12013">
      <w:bodyDiv w:val="1"/>
      <w:marLeft w:val="0"/>
      <w:marRight w:val="0"/>
      <w:marTop w:val="0"/>
      <w:marBottom w:val="0"/>
      <w:divBdr>
        <w:top w:val="none" w:sz="0" w:space="0" w:color="auto"/>
        <w:left w:val="none" w:sz="0" w:space="0" w:color="auto"/>
        <w:bottom w:val="none" w:sz="0" w:space="0" w:color="auto"/>
        <w:right w:val="none" w:sz="0" w:space="0" w:color="auto"/>
      </w:divBdr>
      <w:divsChild>
        <w:div w:id="262416291">
          <w:marLeft w:val="0"/>
          <w:marRight w:val="0"/>
          <w:marTop w:val="0"/>
          <w:marBottom w:val="300"/>
          <w:divBdr>
            <w:top w:val="single" w:sz="6" w:space="0" w:color="E4E4E4"/>
            <w:left w:val="single" w:sz="6" w:space="0" w:color="E4E4E4"/>
            <w:bottom w:val="single" w:sz="6" w:space="0" w:color="E4E4E4"/>
            <w:right w:val="single" w:sz="6" w:space="0" w:color="E4E4E4"/>
          </w:divBdr>
          <w:divsChild>
            <w:div w:id="236865134">
              <w:marLeft w:val="0"/>
              <w:marRight w:val="0"/>
              <w:marTop w:val="225"/>
              <w:marBottom w:val="0"/>
              <w:divBdr>
                <w:top w:val="none" w:sz="0" w:space="0" w:color="auto"/>
                <w:left w:val="none" w:sz="0" w:space="0" w:color="auto"/>
                <w:bottom w:val="none" w:sz="0" w:space="0" w:color="auto"/>
                <w:right w:val="none" w:sz="0" w:space="0" w:color="auto"/>
              </w:divBdr>
              <w:divsChild>
                <w:div w:id="201216386">
                  <w:marLeft w:val="0"/>
                  <w:marRight w:val="0"/>
                  <w:marTop w:val="0"/>
                  <w:marBottom w:val="0"/>
                  <w:divBdr>
                    <w:top w:val="none" w:sz="0" w:space="0" w:color="auto"/>
                    <w:left w:val="none" w:sz="0" w:space="0" w:color="auto"/>
                    <w:bottom w:val="none" w:sz="0" w:space="0" w:color="auto"/>
                    <w:right w:val="none" w:sz="0" w:space="0" w:color="auto"/>
                  </w:divBdr>
                  <w:divsChild>
                    <w:div w:id="12972197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2403</Characters>
  <Application>Microsoft Office Word</Application>
  <DocSecurity>0</DocSecurity>
  <Lines>20</Lines>
  <Paragraphs>5</Paragraphs>
  <ScaleCrop>false</ScaleCrop>
  <Company>Kouvolan Kaupunki</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Lähteenmäki Tanja</dc:creator>
  <cp:keywords/>
  <dc:description/>
  <cp:lastModifiedBy>Tanja Lähteenmäki</cp:lastModifiedBy>
  <cp:revision>4</cp:revision>
  <dcterms:created xsi:type="dcterms:W3CDTF">2014-09-08T05:38:00Z</dcterms:created>
  <dcterms:modified xsi:type="dcterms:W3CDTF">2016-03-14T06:38:00Z</dcterms:modified>
</cp:coreProperties>
</file>