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A4" w:rsidRPr="00010629" w:rsidRDefault="006079A4" w:rsidP="006079A4">
      <w:pPr>
        <w:pStyle w:val="Otsikko2"/>
      </w:pPr>
      <w:bookmarkStart w:id="0" w:name="_Toc413327083"/>
      <w:r w:rsidRPr="00010629">
        <w:t>LUKU 10 KAKSIKIELINEN OPETUS</w:t>
      </w:r>
      <w:bookmarkEnd w:id="0"/>
    </w:p>
    <w:p w:rsidR="006079A4" w:rsidRPr="00134FD2" w:rsidRDefault="006079A4" w:rsidP="006079A4">
      <w:pPr>
        <w:tabs>
          <w:tab w:val="left" w:pos="426"/>
        </w:tabs>
        <w:ind w:left="426"/>
        <w:jc w:val="both"/>
      </w:pPr>
      <w:r w:rsidRPr="00134FD2">
        <w:br/>
        <w:t xml:space="preserve">Koulun opetuskieli on suomi tai ruotsi ja joissakin tapauksissa saame, romani tai viittomakieli. Opetuksessa voidaan perusopetuslain mukaan käyttää koulun varsinaisen opetuskielen lisäksi myös muuta kieltä, jos arvioidaan, että se ei vaaranna oppilaiden mahdollisuutta seurata opetusta. Erillisessä opetusryhmässä tai koulussa opetus voidaan antaa pääosin tai kokonaan muulla kielellä. </w:t>
      </w:r>
      <w:r w:rsidRPr="00134FD2">
        <w:rPr>
          <w:rStyle w:val="Alaviitteenviite"/>
        </w:rPr>
        <w:footnoteReference w:id="1"/>
      </w:r>
      <w:r w:rsidRPr="00134FD2">
        <w:t xml:space="preserve"> </w:t>
      </w:r>
    </w:p>
    <w:p w:rsidR="006079A4" w:rsidRPr="00134FD2" w:rsidRDefault="006079A4" w:rsidP="006079A4">
      <w:pPr>
        <w:ind w:left="426"/>
        <w:jc w:val="both"/>
      </w:pPr>
      <w:r w:rsidRPr="00134FD2">
        <w:t>Perusopetuslain mukainen opetuskieli määrittelee, millä kielellä äidinkielen ja kirjallisuuden opetus annetaan</w:t>
      </w:r>
      <w:r w:rsidRPr="00134FD2">
        <w:rPr>
          <w:rStyle w:val="Alaviitteenviite"/>
        </w:rPr>
        <w:footnoteReference w:id="2"/>
      </w:r>
      <w:r w:rsidRPr="00134FD2">
        <w:t>. Äidinkielen ja kirjallisuuden oppimäärän ja A1-kielen oppimäärän tunnit voidaan kuitenkin tarvittaessa yhdistää valtioneuvoston asetuksen mukaisesti</w:t>
      </w:r>
      <w:r w:rsidRPr="00134FD2">
        <w:rPr>
          <w:rStyle w:val="Alaviitteenviite"/>
        </w:rPr>
        <w:footnoteReference w:id="3"/>
      </w:r>
      <w:r w:rsidRPr="00134FD2">
        <w:t xml:space="preserve">. Yhdistetystä tuntimäärästä on tällöin vähintään puolet opetettava koulun varsinaisella opetuskielellä. </w:t>
      </w:r>
    </w:p>
    <w:p w:rsidR="006079A4" w:rsidRPr="00134FD2" w:rsidRDefault="006079A4" w:rsidP="006079A4">
      <w:pPr>
        <w:ind w:left="426"/>
        <w:jc w:val="both"/>
      </w:pPr>
      <w:r w:rsidRPr="00134FD2">
        <w:t>Kodin ja koulun yhteistyön turvaamiseksi huoltajille tarkoitettu tiedotus ja keskeiset asiakirjat tulee olla saatavana koulun perusopetuslain mukaisella opetuskielellä sekä tarpeen mukaan myös koulun muulla tai muilla opetuskielillä.</w:t>
      </w:r>
    </w:p>
    <w:p w:rsidR="006079A4" w:rsidRPr="00134FD2" w:rsidRDefault="006079A4" w:rsidP="006079A4">
      <w:pPr>
        <w:ind w:left="426"/>
        <w:jc w:val="both"/>
      </w:pPr>
      <w:r w:rsidRPr="00134FD2">
        <w:t xml:space="preserve">Opetus voidaan toteuttaa laajamittaisena kaksikielisenä opetuksena, joka voidaan jakaa kotimaisten kielten varhaiseen täydelliseen kielikylpyyn ja muuhun laajamittaiseen kaksikieliseen opetukseen. Sitä voidaan antaa myös suppeampana kaksikielisenä opetuksena, josta käytetään tässä nimitystä kielirikasteinen opetus. Joskus kaksikielistä opetusta toteutetaan muilla kuin kotimaisilla kielillä kielikylvyn tapaan. Tällainen opetus, samoin kuin mahdolliset kestoltaan </w:t>
      </w:r>
      <w:proofErr w:type="spellStart"/>
      <w:r w:rsidRPr="00134FD2">
        <w:t>lyhyemmät</w:t>
      </w:r>
      <w:proofErr w:type="spellEnd"/>
      <w:r w:rsidRPr="00134FD2">
        <w:t xml:space="preserve"> kielikylpyohjelmat katsotaan tässä kuuluvaksi muun kaksikielisen opetuksen piiriin.</w:t>
      </w:r>
    </w:p>
    <w:p w:rsidR="006079A4" w:rsidRPr="00134FD2" w:rsidRDefault="006079A4" w:rsidP="006079A4">
      <w:pPr>
        <w:pStyle w:val="Otsikko3"/>
        <w:jc w:val="both"/>
      </w:pPr>
      <w:bookmarkStart w:id="1" w:name="_Toc413327084"/>
      <w:r w:rsidRPr="00134FD2">
        <w:t>10.1 Kaksikielisen opetuksen tavoitteet ja opetuksen järjestämisen lähtökohtia</w:t>
      </w:r>
      <w:bookmarkEnd w:id="1"/>
    </w:p>
    <w:p w:rsidR="006079A4" w:rsidRPr="00134FD2" w:rsidRDefault="006079A4" w:rsidP="006079A4">
      <w:pPr>
        <w:tabs>
          <w:tab w:val="left" w:pos="426"/>
        </w:tabs>
        <w:ind w:left="426"/>
        <w:jc w:val="both"/>
      </w:pPr>
      <w:r w:rsidRPr="00134FD2">
        <w:rPr>
          <w:rFonts w:asciiTheme="majorHAnsi" w:eastAsiaTheme="majorEastAsia" w:hAnsiTheme="majorHAnsi" w:cstheme="majorBidi"/>
          <w:b/>
          <w:bCs/>
          <w:color w:val="5B9BD5" w:themeColor="accent1"/>
        </w:rPr>
        <w:br/>
      </w:r>
      <w:r w:rsidRPr="00134FD2">
        <w:t xml:space="preserve">Kaksikielisellä opetuksella pyritään saavuttamaan hyvä ja monipuolinen kielitaito sekä koulun opetuskielessä että kohdekielessä. Kaksikielisen opetuksen pitkäntähtäimen tavoitteena on perustan luominen elinikäiselle kielten oppimiselle sekä kielten ja kulttuurien moninaisuuden arvostamiselle. Kaksikielisessä opetuksessa oppilaille tarjotaan autenttinen kielenkäyttöympäristö. Tavoitteeseen pyritään järjestämällä äidinkielen ja kirjallisuuden sekä kielikylpykielen/kohdekielen tuntien lisäksi eri oppiaineiden opetusta kummallakin kielellä ja hyödyntämällä molempia kieliä koulun arjessa myös opetuksen ulkopuolella. Opetuksen järjestäjä määrittelee paikallisesti kielikylpykielen/kohdekielen sisällöt ja tuntimäärän. Kielikylpykieli/kohdekieli on yleensä samalla oppilaan A1-kieli. </w:t>
      </w:r>
    </w:p>
    <w:p w:rsidR="006079A4" w:rsidRPr="00134FD2" w:rsidRDefault="006079A4" w:rsidP="006079A4">
      <w:pPr>
        <w:ind w:firstLine="426"/>
        <w:jc w:val="both"/>
      </w:pPr>
      <w:r w:rsidRPr="00134FD2">
        <w:t>Kaikissa oppiaineissa tulee saavuttaa valtakunnallisen perusopetuksen opetussuunnitelman tavoitteet.</w:t>
      </w:r>
    </w:p>
    <w:p w:rsidR="006079A4" w:rsidRPr="00134FD2" w:rsidRDefault="006079A4" w:rsidP="006079A4">
      <w:pPr>
        <w:ind w:left="426"/>
        <w:jc w:val="both"/>
      </w:pPr>
      <w:r w:rsidRPr="00134FD2">
        <w:t xml:space="preserve">Kaksikielisessä opetuksessa painottuu luonnollinen viestintä ja vuorovaikutus, </w:t>
      </w:r>
      <w:proofErr w:type="spellStart"/>
      <w:r w:rsidRPr="00134FD2">
        <w:t>toiminnallisuus</w:t>
      </w:r>
      <w:proofErr w:type="spellEnd"/>
      <w:r w:rsidRPr="00134FD2">
        <w:t xml:space="preserve"> ja oppilaiden aktiivinen kielenkäyttö. Oppilaan mahdollisuuksia käyttää kieltä oppiainekohtaisesti sekä koulun opetuskielessä että kielikylpykielessä/kohdekielessä tuetaan tietoisesti. Koulun opetuskieli ja kielikylpykieli/kohdekieli muodostavat kokonaisuuden, ja molempien kielten oppimista tuetaan yhteistyössä kotien ja huoltajien kanssa. Kaksikielinen opetus heijastuu koko koulun toimintakulttuuriin. </w:t>
      </w:r>
      <w:r w:rsidRPr="00134FD2">
        <w:lastRenderedPageBreak/>
        <w:t xml:space="preserve">Opetuksen suunnittelu ja toteutus edellyttää systemaattista yhteistyötä ja vuoropuhelua sekä eri oppiaineita opettavien opettajien että myös koulun muun henkilöstön kesken. </w:t>
      </w:r>
    </w:p>
    <w:p w:rsidR="006079A4" w:rsidRPr="00134FD2" w:rsidRDefault="006079A4" w:rsidP="006079A4">
      <w:pPr>
        <w:spacing w:before="100" w:after="100"/>
        <w:ind w:left="426"/>
        <w:jc w:val="both"/>
      </w:pPr>
      <w:r w:rsidRPr="00134FD2">
        <w:t xml:space="preserve">Siirryttäessä opetuksessa luokanopetuksesta aineenopetukseen, on siirtymävaihe hyvä suunnitella opettajien välisenä yhteistyönä. Tällöin kaksikielisen opetuksen asettamat erityisvaatimukset voidaan ottaa suunnitelmallisesti huomioon.  </w:t>
      </w:r>
    </w:p>
    <w:p w:rsidR="006079A4" w:rsidRPr="00134FD2" w:rsidRDefault="006079A4" w:rsidP="006079A4">
      <w:pPr>
        <w:ind w:left="426"/>
        <w:jc w:val="both"/>
      </w:pPr>
      <w:r w:rsidRPr="00134FD2">
        <w:t xml:space="preserve">Opetuksen jatkumon ja siirtymävaiheiden suunnittelu edellyttää yhteistyötä myös sidosryhmien kesken. </w:t>
      </w:r>
    </w:p>
    <w:p w:rsidR="006079A4" w:rsidRPr="00134FD2" w:rsidRDefault="006079A4" w:rsidP="006079A4">
      <w:pPr>
        <w:ind w:firstLine="426"/>
        <w:jc w:val="both"/>
        <w:rPr>
          <w:i/>
        </w:rPr>
      </w:pPr>
      <w:r w:rsidRPr="00134FD2">
        <w:rPr>
          <w:i/>
        </w:rPr>
        <w:t>Kielikylpykielen/kohdekielen opetus</w:t>
      </w:r>
    </w:p>
    <w:p w:rsidR="006079A4" w:rsidRPr="00134FD2" w:rsidRDefault="006079A4" w:rsidP="006079A4">
      <w:pPr>
        <w:spacing w:before="100" w:after="100"/>
        <w:ind w:left="426"/>
        <w:jc w:val="both"/>
      </w:pPr>
      <w:r w:rsidRPr="00134FD2">
        <w:t>Opetuksen järjestäjä määrittelee paikallisesti kielikylpykielelle/kohdekielelle asetettavat tavoitteet ja sisällöt. Tavoitteiden asettamisessa voidaan hyödyntää esimerkiksi Kielitaidon tasojen kuvausasteikkoa. Kielikylpykielen/kohdekielen opetuksessa kehitetään oppilaiden kielitaitoa monipuolisesti ja samalla ottaen huomioon eri oppiaineiden asettamat vaatimukset kielitaidolle.</w:t>
      </w:r>
    </w:p>
    <w:p w:rsidR="006079A4" w:rsidRPr="00134FD2" w:rsidRDefault="006079A4" w:rsidP="006079A4">
      <w:pPr>
        <w:spacing w:before="100" w:after="100"/>
        <w:ind w:left="426"/>
        <w:jc w:val="both"/>
      </w:pPr>
      <w:r w:rsidRPr="00134FD2">
        <w:t xml:space="preserve">Oppiaineiden opetuksen muuttuessa käsitteellisemmäksi tarvitaan myös vaativamman asiatekstin </w:t>
      </w:r>
      <w:proofErr w:type="spellStart"/>
      <w:r w:rsidRPr="00134FD2">
        <w:t>tuottamis</w:t>
      </w:r>
      <w:proofErr w:type="spellEnd"/>
      <w:r w:rsidRPr="00134FD2">
        <w:t xml:space="preserve">- ja ymmärtämistaitoja sekä taitoa keskustella vaativista aiheista. Myös oikeakielisyyteen kiinnitetään huomiota lisääntyvässä määrin. Kielikylpykielen/kohdekielen kehittymistä tuetaan ja seurataan. </w:t>
      </w:r>
    </w:p>
    <w:p w:rsidR="006079A4" w:rsidRPr="00134FD2" w:rsidRDefault="006079A4" w:rsidP="006079A4">
      <w:pPr>
        <w:spacing w:before="100" w:after="100"/>
        <w:ind w:firstLine="426"/>
        <w:jc w:val="both"/>
        <w:rPr>
          <w:i/>
        </w:rPr>
      </w:pPr>
      <w:r w:rsidRPr="00134FD2">
        <w:rPr>
          <w:i/>
        </w:rPr>
        <w:t>Muiden oppiaineiden opetus kielikylpykielellä/kohdekielellä</w:t>
      </w:r>
    </w:p>
    <w:p w:rsidR="006079A4" w:rsidRPr="00134FD2" w:rsidRDefault="006079A4" w:rsidP="006079A4">
      <w:pPr>
        <w:spacing w:before="100" w:after="100"/>
        <w:ind w:left="426"/>
        <w:jc w:val="both"/>
      </w:pPr>
      <w:r w:rsidRPr="00134FD2">
        <w:t>Eri oppiaineiden opetus kielikylpykielellä/kohdekielellä edellyttää opettajalta kielitietoista ja kielipedagogista otetta sekä riittävää kielenhallintaa</w:t>
      </w:r>
      <w:r w:rsidRPr="00134FD2">
        <w:rPr>
          <w:rStyle w:val="Alaviitteenviite"/>
        </w:rPr>
        <w:footnoteReference w:id="4"/>
      </w:r>
      <w:r w:rsidRPr="00134FD2">
        <w:t xml:space="preserve">. Tarvitaan yhteistä pohdintaa siitä, millaiset kielenkäytön konventiot ja millaiset tekstit ovat millekin oppiaineelle tyypillisiä. Näin määritellään kielellisiä tavoitteita eri oppiaineissa. Opetuksessa korostuu havainnollisuus ja konkreettisuus, oppilaskeskeiset työtavat ja vuorovaikutteisuus. Oppilaita rohkaistaan käyttämään kielikylpykieltä/kohdekieltä eri oppiainesisältöjä opiskeltaessa. Tavoitteena on, että oppilaat ovat samanaikaisesti sekä kielen </w:t>
      </w:r>
      <w:proofErr w:type="spellStart"/>
      <w:r w:rsidRPr="00134FD2">
        <w:t>oppijoita</w:t>
      </w:r>
      <w:proofErr w:type="spellEnd"/>
      <w:r w:rsidRPr="00134FD2">
        <w:t xml:space="preserve"> että kielen käyttäjiä. Oppilaiden kielikylpykielen/kohdekielen tuottamista tuetaan opettajan ja muiden oppilaiden vertaistuella. </w:t>
      </w:r>
    </w:p>
    <w:p w:rsidR="006079A4" w:rsidRPr="00134FD2" w:rsidRDefault="006079A4" w:rsidP="006079A4">
      <w:pPr>
        <w:spacing w:before="100" w:after="100"/>
        <w:ind w:left="426"/>
        <w:jc w:val="both"/>
        <w:rPr>
          <w:i/>
        </w:rPr>
      </w:pPr>
      <w:r w:rsidRPr="00134FD2">
        <w:rPr>
          <w:i/>
        </w:rPr>
        <w:t>Muiden oppiaineiden opetus koulun opetuskielellä</w:t>
      </w:r>
    </w:p>
    <w:p w:rsidR="006079A4" w:rsidRPr="00134FD2" w:rsidRDefault="006079A4" w:rsidP="006079A4">
      <w:pPr>
        <w:spacing w:before="100" w:after="100"/>
        <w:ind w:left="426"/>
        <w:jc w:val="both"/>
      </w:pPr>
      <w:r w:rsidRPr="00134FD2">
        <w:t xml:space="preserve">Opetuksessa varmennetaan, että oppilaiden äidinkielinen käsitteiden hallinta sekä tekstien ymmärtäminen ja tuottaminen kehittyvät ikäkauden mukaiselle tasolle myös eri oppiaineiden opetuksessa. Myös koulun opetuskielellä annettavassa opetuksessa edellytetään opettajalta kielitietoista ja kielipedagogista otetta.  </w:t>
      </w:r>
    </w:p>
    <w:p w:rsidR="006079A4" w:rsidRPr="00134FD2" w:rsidRDefault="006079A4" w:rsidP="006079A4">
      <w:pPr>
        <w:spacing w:before="100" w:after="100"/>
        <w:ind w:firstLine="426"/>
        <w:jc w:val="both"/>
        <w:rPr>
          <w:i/>
        </w:rPr>
      </w:pPr>
      <w:r w:rsidRPr="00134FD2">
        <w:rPr>
          <w:i/>
        </w:rPr>
        <w:t>Seurannan ja arvioinnin erityispiirteet kaksikielisessä opetuksessa</w:t>
      </w:r>
    </w:p>
    <w:p w:rsidR="006079A4" w:rsidRPr="00134FD2" w:rsidRDefault="006079A4" w:rsidP="006079A4">
      <w:pPr>
        <w:spacing w:before="100" w:after="100"/>
        <w:ind w:left="426"/>
        <w:jc w:val="both"/>
      </w:pPr>
      <w:r w:rsidRPr="00134FD2">
        <w:t xml:space="preserve">Arvioinnin tulee antaa opettajalle, oppilaalle ja huoltajille monipuolisesti palautetta oppilaiden aineenhallinnan ja kielitaidon kehittymisestä suhteessa opetukselle määriteltyihin tavoitteisiin. Oppilaan kielitaidon kehittymistä molemmissa kielissä seurataan eri oppiaineissa sekä kaikkien opettajien yhteistyönä että oppilaiden itsearvioinnin ja vertaisarvioinnin avulla. Tässä voidaan hyödyntää esimerkiksi Eurooppalaista kielisalkkua. </w:t>
      </w:r>
    </w:p>
    <w:p w:rsidR="006079A4" w:rsidRPr="00134FD2" w:rsidRDefault="006079A4" w:rsidP="006079A4">
      <w:pPr>
        <w:spacing w:before="100" w:after="100"/>
        <w:ind w:left="426"/>
        <w:jc w:val="both"/>
      </w:pPr>
      <w:r w:rsidRPr="00134FD2">
        <w:t xml:space="preserve">Eri oppiaineiden arvioinnissa noudatetaan perusopetuksen yleisiä arviointiperusteita riippumatta siitä, millä kielellä niitä on opetettu. Arvioinnissa huomioidaan myös oppiainekohtaisen kielen kehittyminen niiden kielellisten tavoitteiden osalta, jotka on paikalliseen opetussuunnitelmaan kirjattu.  </w:t>
      </w:r>
    </w:p>
    <w:p w:rsidR="006079A4" w:rsidRPr="00134FD2" w:rsidRDefault="006079A4" w:rsidP="006079A4">
      <w:pPr>
        <w:spacing w:before="100" w:after="100"/>
        <w:ind w:left="426"/>
        <w:jc w:val="both"/>
      </w:pPr>
      <w:r w:rsidRPr="00134FD2">
        <w:lastRenderedPageBreak/>
        <w:t xml:space="preserve">Perusopetuksen päättöarvioinnissa kielikylpykielen tai kohdekielen tavoitteiden saavuttaminen arvioidaan A1-kielen päättöarvioinnin kriteereiden mukaisesti. Näin menetellään oppilaiden yhdenvertaisuuden turvaamiseksi toisen asteen opintoihin hakeuduttaessa. Mahdollisuuksien mukaan arviointi tehdään yhteistyössä eri oppiaineita opettavien opettajien kesken. Päättötodistuksen yhteydessä oppilaalle voidaan antaa liite kielikylpyyn tai muuhun kaksikieliseen opetukseen osallistumisesta. </w:t>
      </w:r>
    </w:p>
    <w:p w:rsidR="006079A4" w:rsidRPr="00134FD2" w:rsidRDefault="006079A4" w:rsidP="006079A4">
      <w:pPr>
        <w:ind w:firstLine="426"/>
        <w:jc w:val="both"/>
        <w:rPr>
          <w:i/>
        </w:rPr>
      </w:pPr>
      <w:r w:rsidRPr="00134FD2">
        <w:rPr>
          <w:i/>
        </w:rPr>
        <w:t>Oppimisen ja koulunkäynnin tuki kaksikielisessä opetuksessa</w:t>
      </w:r>
    </w:p>
    <w:p w:rsidR="006079A4" w:rsidRPr="00134FD2" w:rsidRDefault="006079A4" w:rsidP="006079A4">
      <w:pPr>
        <w:ind w:left="426"/>
        <w:jc w:val="both"/>
      </w:pPr>
      <w:r w:rsidRPr="00134FD2">
        <w:t xml:space="preserve">Pedagogisissa arvioissa ja tukitoimissa huomioidaan kaksikielinen kielenkehitys ja pohditaan millä kielellä ja millaista tukea voidaan antaa.  Perusopetuslain mukaan oppilaalla on oikeus saada ohjausta ja riittävää tukea oppimiseensa ja koulunkäyntiin heti, kun tarvetta ilmenee. Oppilaan tuen tarvetta seurataan säännöllisesti, ja tukea annetaan tarpeen mukaan. Tarkoitus on, että oppilas saa suunnitelmallista, jatkuvaa tukea heti tuen tarpeen ilmetessä. Oppimisen ja koulunkäynnin tuki suunnitellaan yhteistyössä opettajien, oppilaan ja oppilaan huoltajien sekä oppilashuollon kesken. </w:t>
      </w:r>
    </w:p>
    <w:p w:rsidR="006079A4" w:rsidRPr="00134FD2" w:rsidRDefault="006079A4" w:rsidP="006079A4">
      <w:pPr>
        <w:pStyle w:val="Otsikko4"/>
      </w:pPr>
      <w:bookmarkStart w:id="2" w:name="_Toc413327085"/>
      <w:r w:rsidRPr="00134FD2">
        <w:t>10.1.1 Laajamittainen kaksikielinen opetus</w:t>
      </w:r>
      <w:bookmarkEnd w:id="2"/>
    </w:p>
    <w:p w:rsidR="006079A4" w:rsidRPr="00134FD2" w:rsidRDefault="006079A4" w:rsidP="006079A4">
      <w:pPr>
        <w:tabs>
          <w:tab w:val="left" w:pos="426"/>
        </w:tabs>
        <w:ind w:left="426"/>
        <w:rPr>
          <w:b/>
          <w:i/>
        </w:rPr>
      </w:pPr>
      <w:r w:rsidRPr="00134FD2">
        <w:br/>
      </w:r>
      <w:r w:rsidRPr="00134FD2">
        <w:rPr>
          <w:i/>
        </w:rPr>
        <w:t>Kotimaisten kielten varhainen täydellinen kielikylpy</w:t>
      </w:r>
    </w:p>
    <w:p w:rsidR="006079A4" w:rsidRPr="00134FD2" w:rsidRDefault="006079A4" w:rsidP="006079A4">
      <w:pPr>
        <w:ind w:left="426"/>
        <w:jc w:val="both"/>
        <w:rPr>
          <w:b/>
          <w:i/>
        </w:rPr>
      </w:pPr>
      <w:r w:rsidRPr="00134FD2">
        <w:t xml:space="preserve">Kotimaisten kielten varhaisella täydellä kielikylvyllä tarkoitetaan tässä varhaisintaan kolmevuotiaana ja viimeistään esiopetuksesta alkavaa ja perusopetuksen loppuun kestävää ohjelmaa, jossa osa opetuksesta järjestetään koulun varsinaisella opetuskielellä ja osa toisella kotimaisella kielellä tai saamen kielellä. Kyseisestä kielestä käytetään tässä nimitystä kielikylpykieli. Kielikylpyopetus on tarkoitettu pääsääntöisesti lapsille, jotka eivät puhu kyseistä kieltä äidinkielenään.  </w:t>
      </w:r>
    </w:p>
    <w:p w:rsidR="006079A4" w:rsidRPr="00134FD2" w:rsidRDefault="006079A4" w:rsidP="006079A4">
      <w:pPr>
        <w:ind w:left="426"/>
        <w:jc w:val="both"/>
        <w:rPr>
          <w:b/>
          <w:i/>
        </w:rPr>
      </w:pPr>
      <w:r w:rsidRPr="00134FD2">
        <w:t xml:space="preserve">Kielikylpykielellä annettavan opetuksen osuus varhaisessa täydellisessä kielikylvyssä on koko ohjelman ajan vähintään 50 % niin, että varhaiskasvatuksessa ja esiopetuksessa kielikylpykielen osuus on lähes 100 %, vuosiluokilla 1–2 noin </w:t>
      </w:r>
      <w:proofErr w:type="gramStart"/>
      <w:r w:rsidRPr="00134FD2">
        <w:t>90%</w:t>
      </w:r>
      <w:proofErr w:type="gramEnd"/>
      <w:r w:rsidRPr="00134FD2">
        <w:t xml:space="preserve">, vuosiluokilla 3-4 noin 70% ja vuosiluokilla 5-9 keskimäärin 50%. Osuus lasketaan vuosiluokan koko tuntimäärästä. </w:t>
      </w:r>
    </w:p>
    <w:p w:rsidR="006079A4" w:rsidRPr="00134FD2" w:rsidRDefault="006079A4" w:rsidP="006079A4">
      <w:pPr>
        <w:ind w:left="426"/>
        <w:jc w:val="both"/>
      </w:pPr>
      <w:r w:rsidRPr="00134FD2">
        <w:t xml:space="preserve">Kaikkia oppiaineita pyritään opettamaan perusopetuksen kestäessä sekä kielikylpykielellä että koulun opetuskielellä, mutta ei molemmilla kielillä samanaikaisesti. Opettajat toimivat joko koulun opetuskielen tai kielikylpykielen mukaisina kielellisinä malleina. Opettajalla on yksikielinen rooli kielikylpyryhmässä. Opetuskielen vaihtuessa vaihtuu siis myös opettaja. Opetusmateriaali on </w:t>
      </w:r>
      <w:proofErr w:type="spellStart"/>
      <w:r w:rsidRPr="00134FD2">
        <w:t>samankielistä</w:t>
      </w:r>
      <w:proofErr w:type="spellEnd"/>
      <w:r w:rsidRPr="00134FD2">
        <w:t xml:space="preserve"> kuin opetus. Tärkeää on, että oppilas saavuttaa riittävän kielitaidon eri oppiaineiden tavoitteiden saavuttamiseksi. Kielikylvyssä tuetaan kummankin opetuskäytössä olevan kotimaisen kielen avulla oppilaan kulttuuri-identiteetin syvenemistä. Kotimaisten kielten lisäksi tuetaan muiden kielten ja kulttuureiden kohtaamista ja vahvistetaan tällä tavoin oppilaan monikielistä ja kulttuurisesti monikerroksista identiteettiä myönteisellä tavalla.  </w:t>
      </w:r>
    </w:p>
    <w:p w:rsidR="006079A4" w:rsidRPr="00134FD2" w:rsidRDefault="006079A4" w:rsidP="006079A4">
      <w:pPr>
        <w:ind w:left="426"/>
        <w:jc w:val="both"/>
      </w:pPr>
      <w:r w:rsidRPr="00134FD2">
        <w:t xml:space="preserve">Äidinkieli ja kirjallisuus -oppiaineessa ja kielikylpykielessä on osittain yhteisiä tavoitteita ja sisältöjä. Äidinkielen ja kirjallisuuden sekä kielikylpykielen opetussuunnitelmat laaditaan opettajien yhteistyönä niin, että kaikki äidinkielen ja kirjallisuuden sisällöt tulevat katetuiksi ja tavoitteet on mahdollista saavuttaa. Äidinkielen ja kirjallisuuden opetuksen sekä kielikylpykielen opetuksen välillä on siirtovaikutusta varsinkin kun kielikylpykielen opetuksen tuntimäärä on suuri ja opetus aloitetaan varhain. Lukemaan ja kirjoittamaan opettaminen tapahtuu vuosiluokilla 1-2 ainoastaan kielikylpykielellä. Oppilaan kielikylpykielen kehityksen tukemiseksi opetus järjestetään niin, että oppilaat saavat sekä </w:t>
      </w:r>
      <w:r w:rsidRPr="00134FD2">
        <w:lastRenderedPageBreak/>
        <w:t>lukuaineissa että taito- ja taideaineissa riittävästi opetusta kielikylpykielellä. Siirtovaikutuksen suuruus vaihtelee sisältöaiheittain. Sisältöjen suunnittelussa voidaan hyödyntää äidinkielenomaisia tai maahanmuuttajille tarkoitettuja suomen/ruotsin kielen oppimääriä.</w:t>
      </w:r>
    </w:p>
    <w:p w:rsidR="006079A4" w:rsidRPr="00134FD2" w:rsidRDefault="006079A4" w:rsidP="006079A4">
      <w:pPr>
        <w:spacing w:before="100" w:after="100"/>
        <w:ind w:firstLine="426"/>
        <w:jc w:val="both"/>
        <w:rPr>
          <w:i/>
        </w:rPr>
      </w:pPr>
      <w:r w:rsidRPr="00134FD2">
        <w:rPr>
          <w:i/>
        </w:rPr>
        <w:t>Muu laajamittainen kaksikielinen opetus</w:t>
      </w:r>
    </w:p>
    <w:p w:rsidR="006079A4" w:rsidRPr="00134FD2" w:rsidRDefault="006079A4" w:rsidP="006079A4">
      <w:pPr>
        <w:spacing w:before="100" w:after="100"/>
        <w:ind w:left="426"/>
        <w:jc w:val="both"/>
      </w:pPr>
      <w:r w:rsidRPr="00134FD2">
        <w:t xml:space="preserve">Muussa laajamittaisessa kaksikielisessä opetuksessa käytetään koulun opetuskielen lisäksi yhtä tai useampaa muuta kieltä. Muusta opetuksessa käytetystä kielestä käytetään tässä nimitystä </w:t>
      </w:r>
      <w:r w:rsidRPr="00134FD2">
        <w:rPr>
          <w:i/>
        </w:rPr>
        <w:t>kohdekieli</w:t>
      </w:r>
      <w:r w:rsidRPr="00134FD2">
        <w:t xml:space="preserve">. </w:t>
      </w:r>
    </w:p>
    <w:p w:rsidR="006079A4" w:rsidRPr="00134FD2" w:rsidRDefault="006079A4" w:rsidP="006079A4">
      <w:pPr>
        <w:spacing w:before="100" w:after="100"/>
        <w:ind w:left="426"/>
        <w:jc w:val="both"/>
      </w:pPr>
      <w:r w:rsidRPr="00134FD2">
        <w:t xml:space="preserve">Laajamittaisella kaksikielisellä opetuksella tarkoitetaan opetusta, jossa vähintään 25 % perusopetuksen koko oppimäärän opetuksesta järjestetään kohdekielellä. Osuus lasketaan koko tuntimäärästä niillä vuosiluokilla, joilla laajamittaista kaksikielistä opetusta toteutetaan. Laajamittainen kaksikielinen opetus voi alkaa jo esiopetuksessa ja kestää koko perusopetuksen ajan tai vain osan siitä.  </w:t>
      </w:r>
    </w:p>
    <w:p w:rsidR="006079A4" w:rsidRPr="00134FD2" w:rsidRDefault="006079A4" w:rsidP="006079A4">
      <w:pPr>
        <w:spacing w:before="100" w:after="100"/>
        <w:ind w:left="426"/>
        <w:jc w:val="both"/>
      </w:pPr>
      <w:r w:rsidRPr="00134FD2">
        <w:t xml:space="preserve">Laajamittaisessa kaksikielisessä opetuksessa olevien oppilaiden kielitausta voi myös vaihdella suuresti. Joidenkin oppilaiden äidinkieli ei ole mikään opetuskielistä. Osa oppilaista tulee kouluun ulkomailta niin myöhäisessä perusopetuksen vaiheessa, että oppisisältöjen opiskelu suomeksi/ ruotsiksi tuottaa heille vaikeuksia. Ellei näitä oppilaita jostakin syystä voida ohjata valmistavaan opetukseen, heille tarjotaan muita tukitoimia </w:t>
      </w:r>
      <w:r w:rsidRPr="00134FD2">
        <w:rPr>
          <w:sz w:val="20"/>
          <w:szCs w:val="20"/>
        </w:rPr>
        <w:t>(katso luku 7 Oppimisen ja koulunkäynnin tuki).</w:t>
      </w:r>
      <w:r w:rsidRPr="00134FD2">
        <w:rPr>
          <w:color w:val="FF0000"/>
        </w:rPr>
        <w:t xml:space="preserve"> </w:t>
      </w:r>
    </w:p>
    <w:p w:rsidR="006079A4" w:rsidRPr="00134FD2" w:rsidRDefault="006079A4" w:rsidP="006079A4">
      <w:pPr>
        <w:spacing w:before="100" w:after="100"/>
        <w:ind w:left="426"/>
        <w:jc w:val="both"/>
      </w:pPr>
      <w:r w:rsidRPr="00134FD2">
        <w:t xml:space="preserve">Oppilaat, joiden äidinkieli on jokin muu kuin koulun opetuskieli, opiskelevat useimmiten suomi/ruotsi toisena kielenä -oppimäärää. Näiden oppilaiden kielitaidon kehittymiseen tulee kiinnittää erityistä huomiota, jos kohdekielisen opetuksen osuus koko opetuksesta on suuri. </w:t>
      </w:r>
    </w:p>
    <w:p w:rsidR="006079A4" w:rsidRPr="00134FD2" w:rsidRDefault="006079A4" w:rsidP="006079A4">
      <w:pPr>
        <w:spacing w:before="100" w:after="100"/>
        <w:ind w:left="426"/>
        <w:jc w:val="both"/>
      </w:pPr>
      <w:r w:rsidRPr="00134FD2">
        <w:t xml:space="preserve">Opetussuunnitelmaa laadittaessa on tärkeää miettiä sitä, millaisia oppiaineita tai sisältöjä on mielekästä opettaa kohdekielellä. Lisäksi tulee pohtia, onko osa oppiaineiden sisällöistä sellaisia, että niiden opiskelu suomeksi tai ruotsiksi olisi erityisen tärkeää, jotta oppilas saavuttaisi hyvät toimintavalmiudet suomalaisessa yhteiskunnassa. </w:t>
      </w:r>
    </w:p>
    <w:p w:rsidR="006079A4" w:rsidRPr="00134FD2" w:rsidRDefault="006079A4" w:rsidP="006079A4">
      <w:pPr>
        <w:spacing w:before="100" w:after="100"/>
        <w:ind w:left="426"/>
        <w:jc w:val="both"/>
      </w:pPr>
      <w:r w:rsidRPr="00134FD2">
        <w:t>Mikäli kohdekielisen opetuksen määrä on suuri, on huolehdittava siitä, että oppilaiden suomenkielinen/ruotsinkielinen käsitteiden hallinta sekä vaativan asiatekstin ymmärtäminen ja tuottaminen kehittyvät hyvälle tasolle myös eri oppiaineiden opetuksessa.</w:t>
      </w:r>
    </w:p>
    <w:p w:rsidR="006079A4" w:rsidRPr="00134FD2" w:rsidRDefault="006079A4" w:rsidP="006079A4">
      <w:pPr>
        <w:spacing w:before="100" w:after="100"/>
        <w:ind w:left="426"/>
        <w:jc w:val="both"/>
      </w:pPr>
      <w:r w:rsidRPr="00134FD2">
        <w:t>Kaksikielinen opetus tulee järjestää niin, että kaikki oppilaat voivat saavuttaa perusopetuksen aikana jatko-opintokelpoisuuden toisen asteen opetukseen.</w:t>
      </w:r>
    </w:p>
    <w:p w:rsidR="006079A4" w:rsidRPr="00134FD2" w:rsidRDefault="006079A4" w:rsidP="006079A4">
      <w:pPr>
        <w:spacing w:before="100" w:after="100"/>
        <w:ind w:left="426"/>
        <w:jc w:val="both"/>
      </w:pPr>
      <w:r w:rsidRPr="00134FD2">
        <w:t xml:space="preserve">Kouluissa, joissa opetusta järjestetään kahdella tai useammalla kielellä, on usein runsas kielten ja kulttuurien kirjo niin oppilaiden kuin koulun henkilökunnankin keskuudessa. Tämä antaa paljon mahdollisuuksia tuoda kieliä ja kulttuureita esiin koulun arjessa, kehittää kulttuurien kohtaamistaitoja ja ruokkia monikielisyyttä. Samalla se asettaa koululle haasteen tukea kunkin oppilaan monikielistä ja kulttuurisesti monikerroksista identiteettiä myönteisellä tavalla. </w:t>
      </w:r>
    </w:p>
    <w:p w:rsidR="006079A4" w:rsidRPr="00134FD2" w:rsidRDefault="006079A4" w:rsidP="006079A4">
      <w:pPr>
        <w:spacing w:before="100" w:after="100"/>
        <w:ind w:left="426"/>
        <w:jc w:val="both"/>
      </w:pPr>
    </w:p>
    <w:p w:rsidR="006079A4" w:rsidRPr="00134FD2" w:rsidRDefault="006079A4" w:rsidP="006079A4">
      <w:pPr>
        <w:pStyle w:val="Otsikko4"/>
        <w:jc w:val="both"/>
      </w:pPr>
      <w:bookmarkStart w:id="3" w:name="_Toc413327086"/>
      <w:r w:rsidRPr="00134FD2">
        <w:t>10.1.2 Suppeampi kaksikielinen opetus</w:t>
      </w:r>
      <w:bookmarkEnd w:id="3"/>
    </w:p>
    <w:p w:rsidR="006079A4" w:rsidRPr="00134FD2" w:rsidRDefault="006079A4" w:rsidP="006079A4">
      <w:pPr>
        <w:tabs>
          <w:tab w:val="left" w:pos="426"/>
        </w:tabs>
        <w:spacing w:before="100" w:after="100"/>
        <w:ind w:left="426"/>
        <w:jc w:val="both"/>
        <w:rPr>
          <w:i/>
        </w:rPr>
      </w:pPr>
      <w:r w:rsidRPr="00134FD2">
        <w:br/>
      </w:r>
      <w:r w:rsidRPr="00134FD2">
        <w:rPr>
          <w:i/>
        </w:rPr>
        <w:t>Kielirikasteinen opetus</w:t>
      </w:r>
    </w:p>
    <w:p w:rsidR="006079A4" w:rsidRPr="00134FD2" w:rsidRDefault="006079A4" w:rsidP="006079A4">
      <w:pPr>
        <w:spacing w:before="100" w:after="100"/>
        <w:ind w:left="426"/>
        <w:jc w:val="both"/>
      </w:pPr>
      <w:r w:rsidRPr="00134FD2">
        <w:t xml:space="preserve">Kielirikasteisella opetuksella tarkoitetaan tässä opetusta, jossa alle 25 % oppiaineiden sisällöstä opetetaan muulla kuin koulun opetuskielellä. Osuus lasketaan koko tuntimäärästä niillä vuosiluokilla, joilla kielirikasteista opetusta toteutetaan. Kielirikasteista opetusta voi olla jo esiopetuksessa, ja se voi kestää koko perusopetuksen ajan tai vain osan siitä. </w:t>
      </w:r>
    </w:p>
    <w:p w:rsidR="006079A4" w:rsidRPr="00134FD2" w:rsidRDefault="006079A4" w:rsidP="006079A4">
      <w:pPr>
        <w:spacing w:before="100" w:after="100"/>
        <w:ind w:left="426"/>
        <w:jc w:val="both"/>
      </w:pPr>
      <w:r w:rsidRPr="00134FD2">
        <w:lastRenderedPageBreak/>
        <w:t xml:space="preserve">Kielirikasteisen opetuksen tavoitteet eri oppiaineiden opetuksen ja oppimistulosten osalta ovat perusopetuksen päättyessä samat kuin sellaisessa perusopetuksessa, joka ei ole kielirikasteista. Kielirikasteinen opetus kannustaa ja aktivoi oppilaita kohdekielen käyttöön varsinaisten kielen tuntien lisäksi.  Kielelliset tavoitteet suhteutetaan kielirikasteisen opetuksen määrään.  </w:t>
      </w:r>
    </w:p>
    <w:p w:rsidR="006079A4" w:rsidRPr="00134FD2" w:rsidRDefault="006079A4" w:rsidP="006079A4">
      <w:pPr>
        <w:pStyle w:val="Otsikko3"/>
        <w:spacing w:before="0"/>
        <w:jc w:val="both"/>
      </w:pPr>
    </w:p>
    <w:p w:rsidR="006079A4" w:rsidRPr="00134FD2" w:rsidRDefault="006079A4" w:rsidP="006079A4">
      <w:pPr>
        <w:pStyle w:val="Otsikko3"/>
        <w:spacing w:before="0"/>
        <w:jc w:val="both"/>
      </w:pPr>
      <w:bookmarkStart w:id="4" w:name="_Toc413327087"/>
      <w:r w:rsidRPr="00134FD2">
        <w:t>10.2 Paikallisesti päätettävät asiat</w:t>
      </w:r>
      <w:bookmarkEnd w:id="4"/>
    </w:p>
    <w:p w:rsidR="006079A4" w:rsidRPr="00134FD2" w:rsidRDefault="006079A4" w:rsidP="006079A4">
      <w:pPr>
        <w:jc w:val="both"/>
      </w:pPr>
    </w:p>
    <w:p w:rsidR="006079A4" w:rsidRPr="00134FD2" w:rsidRDefault="006079A4" w:rsidP="006079A4">
      <w:pPr>
        <w:spacing w:after="0"/>
        <w:ind w:left="360"/>
        <w:jc w:val="both"/>
      </w:pPr>
      <w:r w:rsidRPr="00134FD2">
        <w:t>Mikäli opetuksen järjestäjä tarjoaa kaksikielistä opetusta jossakin muodossa, opetuksen järjestäjä päättää ja kuvaa opetussuunnitelmassa</w:t>
      </w:r>
    </w:p>
    <w:p w:rsidR="006079A4" w:rsidRPr="00134FD2" w:rsidRDefault="006079A4" w:rsidP="006079A4">
      <w:pPr>
        <w:pStyle w:val="Luettelokappale"/>
        <w:numPr>
          <w:ilvl w:val="0"/>
          <w:numId w:val="5"/>
        </w:numPr>
        <w:tabs>
          <w:tab w:val="left" w:pos="720"/>
        </w:tabs>
        <w:spacing w:after="0"/>
        <w:jc w:val="both"/>
      </w:pPr>
      <w:r w:rsidRPr="00134FD2">
        <w:t xml:space="preserve">kenelle kaksikielinen opetus on tarkoitettu ja mitkä ovat oppilaaksi oton periaatteet </w:t>
      </w:r>
    </w:p>
    <w:p w:rsidR="006079A4" w:rsidRPr="00134FD2" w:rsidRDefault="006079A4" w:rsidP="006079A4">
      <w:pPr>
        <w:pStyle w:val="Luettelokappale"/>
        <w:numPr>
          <w:ilvl w:val="0"/>
          <w:numId w:val="5"/>
        </w:numPr>
        <w:tabs>
          <w:tab w:val="left" w:pos="720"/>
        </w:tabs>
        <w:jc w:val="both"/>
      </w:pPr>
      <w:r w:rsidRPr="00134FD2">
        <w:t>mikä on kielikylpykielen/kohdekielen sekä koulun opetuskielen tuntijako</w:t>
      </w:r>
    </w:p>
    <w:p w:rsidR="006079A4" w:rsidRPr="00134FD2" w:rsidRDefault="006079A4" w:rsidP="006079A4">
      <w:pPr>
        <w:pStyle w:val="Luettelokappale"/>
        <w:numPr>
          <w:ilvl w:val="0"/>
          <w:numId w:val="5"/>
        </w:numPr>
        <w:spacing w:after="0"/>
        <w:jc w:val="both"/>
      </w:pPr>
      <w:r w:rsidRPr="00134FD2">
        <w:t xml:space="preserve">mitkä oppiaineet tai oppiaineiden sisältöalueet opetetaan koulun opetuskielellä ja mitkä kielikylpykielellä/kohdekielellä; mikäli tilanne on tarpeen tarkistaa kunkin lukuvuoden osalta erikseen, opetussuunnitelmassa määritellään, miten tarkistus tehdään ja miten asia kuvataan lukuvuosisuunnitelmassa </w:t>
      </w:r>
    </w:p>
    <w:p w:rsidR="006079A4" w:rsidRPr="00134FD2" w:rsidRDefault="006079A4" w:rsidP="006079A4">
      <w:pPr>
        <w:pStyle w:val="Luettelokappale"/>
        <w:numPr>
          <w:ilvl w:val="0"/>
          <w:numId w:val="5"/>
        </w:numPr>
        <w:tabs>
          <w:tab w:val="left" w:pos="720"/>
        </w:tabs>
        <w:spacing w:after="0"/>
        <w:jc w:val="both"/>
      </w:pPr>
      <w:r w:rsidRPr="00134FD2">
        <w:t>mitkä ovat kielikylpykielellä/kohdekielellä opetettavien oppiaineiden keskeiset kielelliset tavoitteet</w:t>
      </w:r>
    </w:p>
    <w:p w:rsidR="006079A4" w:rsidRPr="00134FD2" w:rsidRDefault="006079A4" w:rsidP="006079A4">
      <w:pPr>
        <w:pStyle w:val="Luettelokappale"/>
        <w:numPr>
          <w:ilvl w:val="0"/>
          <w:numId w:val="5"/>
        </w:numPr>
        <w:tabs>
          <w:tab w:val="left" w:pos="720"/>
        </w:tabs>
        <w:spacing w:after="0"/>
        <w:jc w:val="both"/>
      </w:pPr>
      <w:r w:rsidRPr="00134FD2">
        <w:t xml:space="preserve">mitkä ovat kielikylpykielen/kohdekielen ja tavoitteet ja sisällöt vuosiluokittain. </w:t>
      </w:r>
    </w:p>
    <w:p w:rsidR="006079A4" w:rsidRPr="00134FD2" w:rsidRDefault="006079A4" w:rsidP="006079A4">
      <w:pPr>
        <w:tabs>
          <w:tab w:val="left" w:pos="7476"/>
        </w:tabs>
        <w:spacing w:before="100" w:after="0"/>
        <w:ind w:left="360"/>
        <w:jc w:val="both"/>
      </w:pPr>
      <w:r w:rsidRPr="00134FD2">
        <w:br/>
        <w:t>Lisäksi varhaisen täydellisen kielikylvyn osalta päätetään ja kuvataan</w:t>
      </w:r>
      <w:r w:rsidRPr="00134FD2">
        <w:tab/>
      </w:r>
    </w:p>
    <w:p w:rsidR="006079A4" w:rsidRPr="00134FD2" w:rsidRDefault="006079A4" w:rsidP="006079A4">
      <w:pPr>
        <w:pStyle w:val="Luettelokappale"/>
        <w:numPr>
          <w:ilvl w:val="0"/>
          <w:numId w:val="5"/>
        </w:numPr>
        <w:spacing w:after="0"/>
        <w:jc w:val="both"/>
      </w:pPr>
      <w:r w:rsidRPr="00134FD2">
        <w:t xml:space="preserve">mitkä äidinkieli ja kirjallisuus -oppiaineen sisältöalueet opetetaan koulun opetuskielellä ja mitkä kielikylpykielellä. </w:t>
      </w:r>
    </w:p>
    <w:p w:rsidR="006079A4" w:rsidRPr="00134FD2" w:rsidRDefault="006079A4" w:rsidP="006079A4">
      <w:pPr>
        <w:tabs>
          <w:tab w:val="left" w:pos="7476"/>
        </w:tabs>
        <w:spacing w:before="100" w:after="0"/>
        <w:ind w:left="360"/>
        <w:jc w:val="both"/>
      </w:pPr>
      <w:r w:rsidRPr="00134FD2">
        <w:br/>
        <w:t xml:space="preserve">Lisäksi laajamittaisen kaksikielisen opetuksen osalta päätetään ja kuvataan </w:t>
      </w:r>
      <w:r w:rsidRPr="00134FD2">
        <w:tab/>
      </w:r>
    </w:p>
    <w:p w:rsidR="006079A4" w:rsidRPr="00134FD2" w:rsidRDefault="006079A4" w:rsidP="006079A4">
      <w:pPr>
        <w:pStyle w:val="Luettelokappale"/>
        <w:numPr>
          <w:ilvl w:val="0"/>
          <w:numId w:val="5"/>
        </w:numPr>
        <w:tabs>
          <w:tab w:val="left" w:pos="720"/>
        </w:tabs>
        <w:spacing w:after="0"/>
        <w:jc w:val="both"/>
      </w:pPr>
      <w:r w:rsidRPr="00134FD2">
        <w:t>miten järjestetään sellaisten lyhytaikaisesti Suomessa asuvien oppilaiden opetus, jotka eivät pysty opiskelemaan opetuskielellä eivätkä kohdekielellä</w:t>
      </w:r>
    </w:p>
    <w:p w:rsidR="006079A4" w:rsidRPr="00134FD2" w:rsidRDefault="006079A4" w:rsidP="006079A4">
      <w:pPr>
        <w:pStyle w:val="Luettelokappale"/>
        <w:numPr>
          <w:ilvl w:val="0"/>
          <w:numId w:val="5"/>
        </w:numPr>
        <w:spacing w:after="0"/>
        <w:jc w:val="both"/>
      </w:pPr>
      <w:r w:rsidRPr="00134FD2">
        <w:t>käytetäänkö oppilaaksi otossa soveltuvuuskokeita ja mikä niiden vaikutus on oppilaaksi ottoon.</w:t>
      </w:r>
    </w:p>
    <w:p w:rsidR="008044A1" w:rsidRPr="006079A4" w:rsidRDefault="008044A1" w:rsidP="006079A4">
      <w:bookmarkStart w:id="5" w:name="_GoBack"/>
      <w:bookmarkEnd w:id="5"/>
    </w:p>
    <w:sectPr w:rsidR="008044A1" w:rsidRPr="006079A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07" w:rsidRDefault="00CE7E07" w:rsidP="00CE7E07">
      <w:pPr>
        <w:spacing w:after="0" w:line="240" w:lineRule="auto"/>
      </w:pPr>
      <w:r>
        <w:separator/>
      </w:r>
    </w:p>
  </w:endnote>
  <w:endnote w:type="continuationSeparator" w:id="0">
    <w:p w:rsidR="00CE7E07" w:rsidRDefault="00CE7E07" w:rsidP="00CE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07" w:rsidRDefault="00CE7E07" w:rsidP="00CE7E07">
      <w:pPr>
        <w:spacing w:after="0" w:line="240" w:lineRule="auto"/>
      </w:pPr>
      <w:r>
        <w:separator/>
      </w:r>
    </w:p>
  </w:footnote>
  <w:footnote w:type="continuationSeparator" w:id="0">
    <w:p w:rsidR="00CE7E07" w:rsidRDefault="00CE7E07" w:rsidP="00CE7E07">
      <w:pPr>
        <w:spacing w:after="0" w:line="240" w:lineRule="auto"/>
      </w:pPr>
      <w:r>
        <w:continuationSeparator/>
      </w:r>
    </w:p>
  </w:footnote>
  <w:footnote w:id="1">
    <w:p w:rsidR="006079A4" w:rsidRDefault="006079A4" w:rsidP="006079A4">
      <w:pPr>
        <w:pStyle w:val="Alaviitteenteksti"/>
      </w:pPr>
      <w:r>
        <w:rPr>
          <w:rStyle w:val="Alaviitteenviite"/>
        </w:rPr>
        <w:footnoteRef/>
      </w:r>
      <w:r>
        <w:t xml:space="preserve"> </w:t>
      </w:r>
      <w:r w:rsidRPr="00F03497">
        <w:t>Pe</w:t>
      </w:r>
      <w:r>
        <w:t>rusopetuslaki 10 §</w:t>
      </w:r>
    </w:p>
  </w:footnote>
  <w:footnote w:id="2">
    <w:p w:rsidR="006079A4" w:rsidRDefault="006079A4" w:rsidP="006079A4">
      <w:pPr>
        <w:pStyle w:val="Alaviitteenteksti"/>
      </w:pPr>
      <w:r>
        <w:rPr>
          <w:rStyle w:val="Alaviitteenviite"/>
        </w:rPr>
        <w:footnoteRef/>
      </w:r>
      <w:r>
        <w:t xml:space="preserve"> Perusopetuslaki 12 §</w:t>
      </w:r>
    </w:p>
  </w:footnote>
  <w:footnote w:id="3">
    <w:p w:rsidR="006079A4" w:rsidRDefault="006079A4" w:rsidP="006079A4">
      <w:pPr>
        <w:pStyle w:val="Alaviitteenteksti"/>
      </w:pPr>
      <w:r>
        <w:rPr>
          <w:rStyle w:val="Alaviitteenviite"/>
        </w:rPr>
        <w:footnoteRef/>
      </w:r>
      <w:r>
        <w:t xml:space="preserve"> V</w:t>
      </w:r>
      <w:r w:rsidRPr="00F03497">
        <w:t>altioneuvoston asetu</w:t>
      </w:r>
      <w:r>
        <w:t>s (422/2012) 8 §</w:t>
      </w:r>
    </w:p>
  </w:footnote>
  <w:footnote w:id="4">
    <w:p w:rsidR="006079A4" w:rsidRDefault="006079A4" w:rsidP="006079A4">
      <w:pPr>
        <w:pStyle w:val="Alaviitteenteksti"/>
      </w:pPr>
      <w:r>
        <w:rPr>
          <w:rStyle w:val="Alaviitteenviite"/>
        </w:rPr>
        <w:footnoteRef/>
      </w:r>
      <w:r>
        <w:t xml:space="preserve"> </w:t>
      </w:r>
      <w:r w:rsidRPr="002E6050">
        <w:t>Opetus</w:t>
      </w:r>
      <w:r>
        <w:t>hallituksen määräys 25/011/2005</w:t>
      </w:r>
      <w:r w:rsidRPr="002E605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 w15:restartNumberingAfterBreak="0">
    <w:nsid w:val="0DDA07AC"/>
    <w:multiLevelType w:val="hybridMultilevel"/>
    <w:tmpl w:val="D20CA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4" w15:restartNumberingAfterBreak="0">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9171BD"/>
    <w:multiLevelType w:val="hybridMultilevel"/>
    <w:tmpl w:val="2132DF2C"/>
    <w:lvl w:ilvl="0" w:tplc="6A629CD4">
      <w:start w:val="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694E31"/>
    <w:multiLevelType w:val="hybridMultilevel"/>
    <w:tmpl w:val="F274E972"/>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507189"/>
    <w:multiLevelType w:val="hybridMultilevel"/>
    <w:tmpl w:val="9EFA7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3" w15:restartNumberingAfterBreak="0">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14" w15:restartNumberingAfterBreak="0">
    <w:nsid w:val="32FF281F"/>
    <w:multiLevelType w:val="hybridMultilevel"/>
    <w:tmpl w:val="B06E07C2"/>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6515D88"/>
    <w:multiLevelType w:val="hybridMultilevel"/>
    <w:tmpl w:val="2B98CF1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95501F4"/>
    <w:multiLevelType w:val="hybridMultilevel"/>
    <w:tmpl w:val="140689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3AE03C3"/>
    <w:multiLevelType w:val="hybridMultilevel"/>
    <w:tmpl w:val="EEFE2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8" w15:restartNumberingAfterBreak="0">
    <w:nsid w:val="687C208C"/>
    <w:multiLevelType w:val="hybridMultilevel"/>
    <w:tmpl w:val="F7A418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7095519"/>
    <w:multiLevelType w:val="hybridMultilevel"/>
    <w:tmpl w:val="F5323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99C386B"/>
    <w:multiLevelType w:val="hybridMultilevel"/>
    <w:tmpl w:val="5A8E7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4"/>
  </w:num>
  <w:num w:numId="4">
    <w:abstractNumId w:val="5"/>
  </w:num>
  <w:num w:numId="5">
    <w:abstractNumId w:val="19"/>
  </w:num>
  <w:num w:numId="6">
    <w:abstractNumId w:val="27"/>
  </w:num>
  <w:num w:numId="7">
    <w:abstractNumId w:val="31"/>
  </w:num>
  <w:num w:numId="8">
    <w:abstractNumId w:val="30"/>
  </w:num>
  <w:num w:numId="9">
    <w:abstractNumId w:val="6"/>
  </w:num>
  <w:num w:numId="10">
    <w:abstractNumId w:val="18"/>
  </w:num>
  <w:num w:numId="11">
    <w:abstractNumId w:val="16"/>
  </w:num>
  <w:num w:numId="12">
    <w:abstractNumId w:val="26"/>
  </w:num>
  <w:num w:numId="13">
    <w:abstractNumId w:val="23"/>
  </w:num>
  <w:num w:numId="14">
    <w:abstractNumId w:val="0"/>
  </w:num>
  <w:num w:numId="15">
    <w:abstractNumId w:val="3"/>
  </w:num>
  <w:num w:numId="16">
    <w:abstractNumId w:val="13"/>
  </w:num>
  <w:num w:numId="17">
    <w:abstractNumId w:val="33"/>
  </w:num>
  <w:num w:numId="18">
    <w:abstractNumId w:val="29"/>
  </w:num>
  <w:num w:numId="19">
    <w:abstractNumId w:val="4"/>
  </w:num>
  <w:num w:numId="20">
    <w:abstractNumId w:val="17"/>
  </w:num>
  <w:num w:numId="21">
    <w:abstractNumId w:val="32"/>
  </w:num>
  <w:num w:numId="22">
    <w:abstractNumId w:val="15"/>
  </w:num>
  <w:num w:numId="23">
    <w:abstractNumId w:val="11"/>
  </w:num>
  <w:num w:numId="24">
    <w:abstractNumId w:val="12"/>
  </w:num>
  <w:num w:numId="25">
    <w:abstractNumId w:val="21"/>
  </w:num>
  <w:num w:numId="26">
    <w:abstractNumId w:val="28"/>
  </w:num>
  <w:num w:numId="27">
    <w:abstractNumId w:val="9"/>
  </w:num>
  <w:num w:numId="28">
    <w:abstractNumId w:val="20"/>
  </w:num>
  <w:num w:numId="29">
    <w:abstractNumId w:val="22"/>
  </w:num>
  <w:num w:numId="30">
    <w:abstractNumId w:val="1"/>
  </w:num>
  <w:num w:numId="31">
    <w:abstractNumId w:val="7"/>
  </w:num>
  <w:num w:numId="32">
    <w:abstractNumId w:val="10"/>
  </w:num>
  <w:num w:numId="33">
    <w:abstractNumId w:val="2"/>
  </w:num>
  <w:num w:numId="34">
    <w:abstractNumId w:val="24"/>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7"/>
    <w:rsid w:val="00312909"/>
    <w:rsid w:val="006079A4"/>
    <w:rsid w:val="0062454A"/>
    <w:rsid w:val="008044A1"/>
    <w:rsid w:val="008E4A06"/>
    <w:rsid w:val="00A47715"/>
    <w:rsid w:val="00C75C1C"/>
    <w:rsid w:val="00CE7E07"/>
    <w:rsid w:val="00DB5263"/>
    <w:rsid w:val="00DD79BC"/>
    <w:rsid w:val="00F019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6B11-3965-43F4-883A-838DBEF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7E07"/>
    <w:pPr>
      <w:spacing w:after="200" w:line="276" w:lineRule="auto"/>
    </w:pPr>
  </w:style>
  <w:style w:type="paragraph" w:styleId="Otsikko2">
    <w:name w:val="heading 2"/>
    <w:basedOn w:val="Normaali"/>
    <w:next w:val="Normaali"/>
    <w:link w:val="Otsikko2Char"/>
    <w:uiPriority w:val="9"/>
    <w:unhideWhenUsed/>
    <w:qFormat/>
    <w:rsid w:val="00CE7E0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CE7E07"/>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semiHidden/>
    <w:unhideWhenUsed/>
    <w:qFormat/>
    <w:rsid w:val="006245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E7E07"/>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CE7E07"/>
    <w:rPr>
      <w:rFonts w:asciiTheme="majorHAnsi" w:eastAsiaTheme="majorEastAsia" w:hAnsiTheme="majorHAnsi" w:cstheme="majorBidi"/>
      <w:b/>
      <w:bCs/>
      <w:color w:val="5B9BD5" w:themeColor="accent1"/>
    </w:rPr>
  </w:style>
  <w:style w:type="paragraph" w:styleId="Luettelokappale">
    <w:name w:val="List Paragraph"/>
    <w:basedOn w:val="Normaali"/>
    <w:uiPriority w:val="34"/>
    <w:qFormat/>
    <w:rsid w:val="00CE7E07"/>
    <w:pPr>
      <w:ind w:left="720"/>
      <w:contextualSpacing/>
    </w:pPr>
  </w:style>
  <w:style w:type="paragraph" w:styleId="Alaviitteenteksti">
    <w:name w:val="footnote text"/>
    <w:basedOn w:val="Normaali"/>
    <w:link w:val="AlaviitteentekstiChar"/>
    <w:uiPriority w:val="99"/>
    <w:unhideWhenUsed/>
    <w:rsid w:val="00CE7E0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E7E07"/>
    <w:rPr>
      <w:sz w:val="20"/>
      <w:szCs w:val="20"/>
    </w:rPr>
  </w:style>
  <w:style w:type="character" w:styleId="Alaviitteenviite">
    <w:name w:val="footnote reference"/>
    <w:basedOn w:val="Kappaleenoletusfontti"/>
    <w:uiPriority w:val="99"/>
    <w:semiHidden/>
    <w:unhideWhenUsed/>
    <w:rsid w:val="00CE7E07"/>
    <w:rPr>
      <w:vertAlign w:val="superscript"/>
    </w:rPr>
  </w:style>
  <w:style w:type="paragraph" w:styleId="NormaaliWWW">
    <w:name w:val="Normal (Web)"/>
    <w:basedOn w:val="Normaali"/>
    <w:uiPriority w:val="99"/>
    <w:unhideWhenUsed/>
    <w:rsid w:val="00DD79B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2909"/>
    <w:pPr>
      <w:autoSpaceDE w:val="0"/>
      <w:autoSpaceDN w:val="0"/>
      <w:adjustRightInd w:val="0"/>
      <w:spacing w:after="0" w:line="240" w:lineRule="auto"/>
    </w:pPr>
    <w:rPr>
      <w:rFonts w:ascii="Calibri" w:hAnsi="Calibri" w:cs="Calibri"/>
      <w:color w:val="000000"/>
      <w:sz w:val="24"/>
      <w:szCs w:val="24"/>
    </w:rPr>
  </w:style>
  <w:style w:type="paragraph" w:styleId="Eivli">
    <w:name w:val="No Spacing"/>
    <w:link w:val="EivliChar"/>
    <w:uiPriority w:val="1"/>
    <w:qFormat/>
    <w:rsid w:val="00312909"/>
    <w:pPr>
      <w:spacing w:after="0" w:line="240" w:lineRule="auto"/>
    </w:pPr>
  </w:style>
  <w:style w:type="character" w:customStyle="1" w:styleId="EivliChar">
    <w:name w:val="Ei väliä Char"/>
    <w:basedOn w:val="Kappaleenoletusfontti"/>
    <w:link w:val="Eivli"/>
    <w:uiPriority w:val="1"/>
    <w:rsid w:val="00312909"/>
  </w:style>
  <w:style w:type="paragraph" w:styleId="Kommentinteksti">
    <w:name w:val="annotation text"/>
    <w:basedOn w:val="Normaali"/>
    <w:link w:val="KommentintekstiChar"/>
    <w:uiPriority w:val="99"/>
    <w:unhideWhenUsed/>
    <w:rsid w:val="00F01962"/>
    <w:pPr>
      <w:spacing w:line="240" w:lineRule="auto"/>
    </w:pPr>
    <w:rPr>
      <w:sz w:val="20"/>
      <w:szCs w:val="20"/>
    </w:rPr>
  </w:style>
  <w:style w:type="character" w:customStyle="1" w:styleId="KommentintekstiChar">
    <w:name w:val="Kommentin teksti Char"/>
    <w:basedOn w:val="Kappaleenoletusfontti"/>
    <w:link w:val="Kommentinteksti"/>
    <w:uiPriority w:val="99"/>
    <w:rsid w:val="00F01962"/>
    <w:rPr>
      <w:sz w:val="20"/>
      <w:szCs w:val="20"/>
    </w:rPr>
  </w:style>
  <w:style w:type="paragraph" w:customStyle="1" w:styleId="Body1">
    <w:name w:val="Body 1"/>
    <w:rsid w:val="00F01962"/>
    <w:pPr>
      <w:spacing w:after="0" w:line="240" w:lineRule="auto"/>
    </w:pPr>
    <w:rPr>
      <w:rFonts w:ascii="Helvetica" w:eastAsia="Arial Unicode MS" w:hAnsi="Helvetica" w:cs="Times New Roman"/>
      <w:color w:val="000000"/>
      <w:sz w:val="24"/>
      <w:szCs w:val="20"/>
      <w:lang w:eastAsia="fi-FI"/>
    </w:rPr>
  </w:style>
  <w:style w:type="character" w:customStyle="1" w:styleId="Otsikko4Char">
    <w:name w:val="Otsikko 4 Char"/>
    <w:basedOn w:val="Kappaleenoletusfontti"/>
    <w:link w:val="Otsikko4"/>
    <w:uiPriority w:val="9"/>
    <w:semiHidden/>
    <w:rsid w:val="0062454A"/>
    <w:rPr>
      <w:rFonts w:asciiTheme="majorHAnsi" w:eastAsiaTheme="majorEastAsia" w:hAnsiTheme="majorHAnsi" w:cstheme="majorBidi"/>
      <w:i/>
      <w:iCs/>
      <w:color w:val="2E74B5" w:themeColor="accent1" w:themeShade="BF"/>
    </w:rPr>
  </w:style>
  <w:style w:type="paragraph" w:styleId="Leipteksti">
    <w:name w:val="Body Text"/>
    <w:basedOn w:val="Normaali"/>
    <w:link w:val="LeiptekstiChar"/>
    <w:uiPriority w:val="1"/>
    <w:unhideWhenUsed/>
    <w:qFormat/>
    <w:rsid w:val="0062454A"/>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uiPriority w:val="1"/>
    <w:rsid w:val="0062454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13311</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2017-02-07T12:37:00Z</dcterms:created>
  <dcterms:modified xsi:type="dcterms:W3CDTF">2017-02-07T12:37:00Z</dcterms:modified>
</cp:coreProperties>
</file>