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D0" w:rsidRPr="00E966D0" w:rsidRDefault="00E966D0" w:rsidP="00E966D0">
      <w:pPr>
        <w:rPr>
          <w:b/>
          <w:color w:val="EEECE1"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bookmarkStart w:id="0" w:name="_GoBack"/>
      <w:bookmarkEnd w:id="0"/>
      <w:r>
        <w:rPr>
          <w:b/>
          <w:color w:val="EEECE1"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Seudulliset linjaukset</w:t>
      </w:r>
    </w:p>
    <w:p w:rsidR="00E966D0" w:rsidRPr="0056155A" w:rsidRDefault="00E966D0" w:rsidP="00E966D0">
      <w:pPr>
        <w:pStyle w:val="Luettelokappale"/>
        <w:numPr>
          <w:ilvl w:val="0"/>
          <w:numId w:val="1"/>
        </w:numPr>
        <w:rPr>
          <w:b/>
          <w:sz w:val="24"/>
          <w:szCs w:val="24"/>
        </w:rPr>
      </w:pPr>
      <w:proofErr w:type="gramStart"/>
      <w:r w:rsidRPr="0056155A">
        <w:rPr>
          <w:b/>
          <w:sz w:val="24"/>
          <w:szCs w:val="24"/>
        </w:rPr>
        <w:t>Pidennetty oppivelvollisuus</w:t>
      </w:r>
      <w:proofErr w:type="gramEnd"/>
    </w:p>
    <w:p w:rsidR="00E966D0" w:rsidRPr="0056155A" w:rsidRDefault="00E966D0" w:rsidP="00E966D0">
      <w:pPr>
        <w:pStyle w:val="Luettelokappale"/>
        <w:rPr>
          <w:b/>
          <w:sz w:val="24"/>
          <w:szCs w:val="24"/>
        </w:rPr>
      </w:pPr>
    </w:p>
    <w:p w:rsidR="00E966D0" w:rsidRPr="0056155A" w:rsidRDefault="00E966D0" w:rsidP="00E966D0">
      <w:pPr>
        <w:spacing w:after="0" w:line="240" w:lineRule="auto"/>
        <w:rPr>
          <w:rFonts w:eastAsia="Times New Roman" w:cs="Times New Roman"/>
          <w:sz w:val="24"/>
          <w:szCs w:val="24"/>
          <w:lang w:eastAsia="fi-FI"/>
        </w:rPr>
      </w:pPr>
      <w:r w:rsidRPr="0056155A">
        <w:rPr>
          <w:rFonts w:eastAsia="Times New Roman" w:cs="Times New Roman"/>
          <w:sz w:val="24"/>
          <w:szCs w:val="24"/>
          <w:lang w:eastAsia="fi-FI"/>
        </w:rPr>
        <w:t>Pidennetyn oppivelvollisuuden piiriin kuuluvat vaikeasti vammaiset lapset. Heitä ovat muun muassa näkö- ja kuulovammaiset sekä muutoin ruumiillisesti tai henkisesti vaikeasti vammaiset tai kehityksessään viivästyneet lapset. Myös vaikea sairaus voi olla syynä pidennettyyn oppivelvollisuuteen.</w:t>
      </w:r>
    </w:p>
    <w:p w:rsidR="00E966D0" w:rsidRPr="0056155A" w:rsidRDefault="00E966D0" w:rsidP="00E966D0">
      <w:pPr>
        <w:spacing w:after="0" w:line="240" w:lineRule="auto"/>
        <w:rPr>
          <w:rFonts w:eastAsia="Times New Roman"/>
          <w:sz w:val="24"/>
          <w:szCs w:val="24"/>
          <w:lang w:eastAsia="fi-FI"/>
        </w:rPr>
      </w:pPr>
      <w:r w:rsidRPr="0056155A">
        <w:rPr>
          <w:rFonts w:eastAsia="Times New Roman"/>
          <w:sz w:val="24"/>
          <w:szCs w:val="24"/>
          <w:lang w:eastAsia="fi-FI"/>
        </w:rPr>
        <w:br/>
        <w:t>Kaikki näkö- tai kuulovammaiset, esimerkiksi kuulokojetta käyttävät eivät automaattisesti kuulu pidennetyn oppivelvollisuuden piiriin, vaan päätöstä tulee harkita yllä olevan, opetussuunnitelman perusteiden mukaisen määritelmän pohjalta. Lievissä ja jopa keskivaikeissa kuulovammoissa, joissa koulunkäynti usein sujuu hyvin tukitoimien avulla tai joissakin tapauksissa lähes ilman tukitoimia ja oppilas tulee selviytymään perusopetuksen tavoitteista yhdeksässä vuodessa, ei päätös aina ole tarpeellinen.</w:t>
      </w:r>
    </w:p>
    <w:p w:rsidR="00151246" w:rsidRPr="0056155A" w:rsidRDefault="00B513B3" w:rsidP="00E966D0">
      <w:pPr>
        <w:spacing w:after="0" w:line="240" w:lineRule="auto"/>
        <w:rPr>
          <w:rFonts w:eastAsia="Times New Roman" w:cs="Times New Roman"/>
          <w:sz w:val="24"/>
          <w:szCs w:val="24"/>
          <w:lang w:eastAsia="fi-FI"/>
        </w:rPr>
      </w:pPr>
      <w:hyperlink r:id="rId6" w:history="1">
        <w:r w:rsidR="00151246" w:rsidRPr="0056155A">
          <w:rPr>
            <w:rStyle w:val="Hyperlinkki"/>
            <w:rFonts w:eastAsia="Times New Roman"/>
            <w:sz w:val="24"/>
            <w:szCs w:val="24"/>
            <w:lang w:eastAsia="fi-FI"/>
          </w:rPr>
          <w:t>http://www.oph.fi/saadokset_ja_ohjeet/ohjeita_koulutuksen_jarjestamiseen/perusopetuksen_jarjestaminen/tietoa_tuen_jarjestamisesta/pidennetty_oppivelvollisuus</w:t>
        </w:r>
      </w:hyperlink>
    </w:p>
    <w:p w:rsidR="00E966D0" w:rsidRPr="0056155A" w:rsidRDefault="00E966D0" w:rsidP="00E966D0">
      <w:pPr>
        <w:spacing w:after="0" w:line="240" w:lineRule="auto"/>
        <w:rPr>
          <w:rFonts w:eastAsia="Times New Roman" w:cs="Times New Roman"/>
          <w:sz w:val="24"/>
          <w:szCs w:val="24"/>
          <w:lang w:eastAsia="fi-FI"/>
        </w:rPr>
      </w:pPr>
    </w:p>
    <w:p w:rsidR="00151246" w:rsidRPr="0056155A" w:rsidRDefault="00151246" w:rsidP="00151246">
      <w:pPr>
        <w:rPr>
          <w:b/>
          <w:sz w:val="24"/>
          <w:szCs w:val="24"/>
        </w:rPr>
      </w:pPr>
    </w:p>
    <w:p w:rsidR="00E966D0" w:rsidRPr="0056155A" w:rsidRDefault="00E966D0" w:rsidP="009A513A">
      <w:pPr>
        <w:ind w:left="720"/>
        <w:rPr>
          <w:b/>
          <w:sz w:val="24"/>
          <w:szCs w:val="24"/>
        </w:rPr>
      </w:pPr>
      <w:proofErr w:type="gramStart"/>
      <w:r w:rsidRPr="0056155A">
        <w:rPr>
          <w:b/>
          <w:sz w:val="24"/>
          <w:szCs w:val="24"/>
        </w:rPr>
        <w:t>Seudullinen linjaus pidennetyn oppivelvollisuuden kriteereihin</w:t>
      </w:r>
      <w:proofErr w:type="gramEnd"/>
    </w:p>
    <w:p w:rsidR="00E966D0" w:rsidRPr="0056155A" w:rsidRDefault="00224E08" w:rsidP="00E966D0">
      <w:pPr>
        <w:pStyle w:val="Luettelokappale"/>
        <w:numPr>
          <w:ilvl w:val="0"/>
          <w:numId w:val="2"/>
        </w:numPr>
        <w:rPr>
          <w:b/>
          <w:sz w:val="24"/>
          <w:szCs w:val="24"/>
        </w:rPr>
      </w:pPr>
      <w:r w:rsidRPr="0056155A">
        <w:rPr>
          <w:sz w:val="24"/>
          <w:szCs w:val="24"/>
        </w:rPr>
        <w:t>K</w:t>
      </w:r>
      <w:r w:rsidR="00E966D0" w:rsidRPr="0056155A">
        <w:rPr>
          <w:sz w:val="24"/>
          <w:szCs w:val="24"/>
        </w:rPr>
        <w:t>eskivaikea kielellinen erityisvaikeus ei kuulu pidennetyn oppivelvollisuuden piiriin</w:t>
      </w:r>
      <w:r w:rsidRPr="0056155A">
        <w:rPr>
          <w:sz w:val="24"/>
          <w:szCs w:val="24"/>
        </w:rPr>
        <w:t>.</w:t>
      </w:r>
    </w:p>
    <w:p w:rsidR="00E966D0" w:rsidRPr="0056155A" w:rsidRDefault="00224E08" w:rsidP="00E966D0">
      <w:pPr>
        <w:pStyle w:val="Luettelokappale"/>
        <w:numPr>
          <w:ilvl w:val="0"/>
          <w:numId w:val="2"/>
        </w:numPr>
        <w:rPr>
          <w:b/>
          <w:sz w:val="24"/>
          <w:szCs w:val="24"/>
        </w:rPr>
      </w:pPr>
      <w:r w:rsidRPr="0056155A">
        <w:rPr>
          <w:sz w:val="24"/>
          <w:szCs w:val="24"/>
        </w:rPr>
        <w:t>L</w:t>
      </w:r>
      <w:r w:rsidR="00E966D0" w:rsidRPr="0056155A">
        <w:rPr>
          <w:sz w:val="24"/>
          <w:szCs w:val="24"/>
        </w:rPr>
        <w:t>ievä kehitysvamma ei automaattisesti kuulu</w:t>
      </w:r>
      <w:r w:rsidR="00987F77" w:rsidRPr="0056155A">
        <w:rPr>
          <w:sz w:val="24"/>
          <w:szCs w:val="24"/>
        </w:rPr>
        <w:t xml:space="preserve"> pidennetyn oppivelvollisuuden piiriin</w:t>
      </w:r>
      <w:r w:rsidR="00E966D0" w:rsidRPr="0056155A">
        <w:rPr>
          <w:sz w:val="24"/>
          <w:szCs w:val="24"/>
        </w:rPr>
        <w:t>, vaan on selvitett</w:t>
      </w:r>
      <w:r w:rsidR="00987F77" w:rsidRPr="0056155A">
        <w:rPr>
          <w:sz w:val="24"/>
          <w:szCs w:val="24"/>
        </w:rPr>
        <w:t>ävä liittyykö siihen muita opiskelua hankaloittavia vaikeuksia</w:t>
      </w:r>
      <w:r w:rsidR="00E966D0" w:rsidRPr="0056155A">
        <w:rPr>
          <w:sz w:val="24"/>
          <w:szCs w:val="24"/>
        </w:rPr>
        <w:t>, jolloin se voi harkinnanvaraisesti olla peruste</w:t>
      </w:r>
      <w:r w:rsidR="00987F77" w:rsidRPr="0056155A">
        <w:rPr>
          <w:sz w:val="24"/>
          <w:szCs w:val="24"/>
        </w:rPr>
        <w:t>ena pidennettyyn oppivelvollisuuteen siirtymiseen</w:t>
      </w:r>
      <w:r w:rsidRPr="0056155A">
        <w:rPr>
          <w:sz w:val="24"/>
          <w:szCs w:val="24"/>
        </w:rPr>
        <w:t>.</w:t>
      </w:r>
    </w:p>
    <w:p w:rsidR="00224E08" w:rsidRPr="0056155A" w:rsidRDefault="00224E08" w:rsidP="00E966D0">
      <w:pPr>
        <w:pStyle w:val="Luettelokappale"/>
        <w:numPr>
          <w:ilvl w:val="0"/>
          <w:numId w:val="2"/>
        </w:numPr>
        <w:rPr>
          <w:b/>
          <w:sz w:val="24"/>
          <w:szCs w:val="24"/>
        </w:rPr>
      </w:pPr>
      <w:r w:rsidRPr="0056155A">
        <w:rPr>
          <w:sz w:val="24"/>
          <w:szCs w:val="24"/>
        </w:rPr>
        <w:t>Pidennetyn oppivelvollisuuden päätös tehdään pääsääntöisesti e</w:t>
      </w:r>
      <w:r w:rsidR="00A141BB" w:rsidRPr="0056155A">
        <w:rPr>
          <w:sz w:val="24"/>
          <w:szCs w:val="24"/>
        </w:rPr>
        <w:t xml:space="preserve">nnen oppivelvollisuuden alkua. </w:t>
      </w:r>
    </w:p>
    <w:p w:rsidR="00224E08" w:rsidRPr="0056155A" w:rsidRDefault="00224E08" w:rsidP="00224E08">
      <w:pPr>
        <w:pStyle w:val="Luettelokappale"/>
        <w:numPr>
          <w:ilvl w:val="0"/>
          <w:numId w:val="2"/>
        </w:numPr>
        <w:rPr>
          <w:sz w:val="24"/>
          <w:szCs w:val="24"/>
        </w:rPr>
      </w:pPr>
      <w:r w:rsidRPr="0056155A">
        <w:rPr>
          <w:sz w:val="24"/>
          <w:szCs w:val="24"/>
        </w:rPr>
        <w:t xml:space="preserve">Tällä hetkellä on oppilaita, jotka ovat pidennetyn oppivelvollisuuden piirissä, vaikka heillä ei ole siihen tarvetta, eivätkä he täytä pidennetystä oppivelvollisuudesta annettua määritelmää. Esi- ja perusopetuksen opetussuunnitelman perusteiden mukaan jos oppilas ei enää kuulu pidennetyn oppivelvollisuuden piirin, tulee tehdä päätös pidennetyn oppivelvollisuuden päättämisestä, jolloin oppilas siirtyy yleisen oppivelvollisuuden piiriin. </w:t>
      </w:r>
    </w:p>
    <w:p w:rsidR="00224E08" w:rsidRPr="0056155A" w:rsidRDefault="00224E08" w:rsidP="00224E08">
      <w:pPr>
        <w:pStyle w:val="Luettelokappale"/>
        <w:numPr>
          <w:ilvl w:val="0"/>
          <w:numId w:val="2"/>
        </w:numPr>
        <w:rPr>
          <w:sz w:val="24"/>
          <w:szCs w:val="24"/>
        </w:rPr>
      </w:pPr>
      <w:r w:rsidRPr="0056155A">
        <w:rPr>
          <w:sz w:val="24"/>
          <w:szCs w:val="24"/>
        </w:rPr>
        <w:t xml:space="preserve">Pidennetyn oppivelvollisuuden päättäminen edellyttää pedagogisen selvityksen laatimisen ja uuden erityisen tuen päätöksen tekemisen, jonka jälkeen oppilas joko jatkaa erityisessä tuessa tai siirtyy tehostettuun tukeen. </w:t>
      </w:r>
    </w:p>
    <w:p w:rsidR="00E966D0" w:rsidRPr="0056155A" w:rsidRDefault="00A141BB" w:rsidP="00A141BB">
      <w:pPr>
        <w:pStyle w:val="Luettelokappale"/>
        <w:numPr>
          <w:ilvl w:val="0"/>
          <w:numId w:val="2"/>
        </w:numPr>
        <w:rPr>
          <w:sz w:val="24"/>
          <w:szCs w:val="24"/>
        </w:rPr>
      </w:pPr>
      <w:r w:rsidRPr="0056155A">
        <w:rPr>
          <w:sz w:val="24"/>
          <w:szCs w:val="24"/>
        </w:rPr>
        <w:t>Kun pidennetystä oppivelvollisuudesta siirrytään yleiseen oppivelvollisuuteen, ei tarvita koulun ulkopuolista asiantuntijalausuntoa</w:t>
      </w:r>
      <w:r w:rsidRPr="0056155A">
        <w:rPr>
          <w:color w:val="FF0000"/>
          <w:sz w:val="24"/>
          <w:szCs w:val="24"/>
        </w:rPr>
        <w:t xml:space="preserve">. </w:t>
      </w:r>
    </w:p>
    <w:p w:rsidR="008C5BFC" w:rsidRPr="0056155A" w:rsidRDefault="008C5BFC"/>
    <w:sectPr w:rsidR="008C5BFC" w:rsidRPr="005615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A2030"/>
    <w:multiLevelType w:val="hybridMultilevel"/>
    <w:tmpl w:val="DF30CA4E"/>
    <w:lvl w:ilvl="0" w:tplc="5D669462">
      <w:start w:val="1"/>
      <w:numFmt w:val="bullet"/>
      <w:lvlText w:val="-"/>
      <w:lvlJc w:val="left"/>
      <w:pPr>
        <w:ind w:left="1080" w:hanging="360"/>
      </w:pPr>
      <w:rPr>
        <w:rFonts w:ascii="Calibri" w:eastAsiaTheme="minorHAnsi" w:hAnsi="Calibri" w:cstheme="minorBidi" w:hint="default"/>
        <w:b w:val="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7C6C1C0A"/>
    <w:multiLevelType w:val="hybridMultilevel"/>
    <w:tmpl w:val="DB640C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D0"/>
    <w:rsid w:val="00025021"/>
    <w:rsid w:val="00151246"/>
    <w:rsid w:val="00224E08"/>
    <w:rsid w:val="00537070"/>
    <w:rsid w:val="0056155A"/>
    <w:rsid w:val="008C5BFC"/>
    <w:rsid w:val="00902EC1"/>
    <w:rsid w:val="00987F77"/>
    <w:rsid w:val="009A513A"/>
    <w:rsid w:val="00A141BB"/>
    <w:rsid w:val="00B513B3"/>
    <w:rsid w:val="00E966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966D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966D0"/>
    <w:pPr>
      <w:ind w:left="720"/>
      <w:contextualSpacing/>
    </w:pPr>
  </w:style>
  <w:style w:type="character" w:styleId="Hyperlinkki">
    <w:name w:val="Hyperlink"/>
    <w:basedOn w:val="Kappaleenoletusfontti"/>
    <w:uiPriority w:val="99"/>
    <w:unhideWhenUsed/>
    <w:rsid w:val="001512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966D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966D0"/>
    <w:pPr>
      <w:ind w:left="720"/>
      <w:contextualSpacing/>
    </w:pPr>
  </w:style>
  <w:style w:type="character" w:styleId="Hyperlinkki">
    <w:name w:val="Hyperlink"/>
    <w:basedOn w:val="Kappaleenoletusfontti"/>
    <w:uiPriority w:val="99"/>
    <w:unhideWhenUsed/>
    <w:rsid w:val="001512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03583">
      <w:bodyDiv w:val="1"/>
      <w:marLeft w:val="0"/>
      <w:marRight w:val="0"/>
      <w:marTop w:val="0"/>
      <w:marBottom w:val="0"/>
      <w:divBdr>
        <w:top w:val="none" w:sz="0" w:space="0" w:color="auto"/>
        <w:left w:val="none" w:sz="0" w:space="0" w:color="auto"/>
        <w:bottom w:val="none" w:sz="0" w:space="0" w:color="auto"/>
        <w:right w:val="none" w:sz="0" w:space="0" w:color="auto"/>
      </w:divBdr>
      <w:divsChild>
        <w:div w:id="1655337475">
          <w:marLeft w:val="0"/>
          <w:marRight w:val="0"/>
          <w:marTop w:val="0"/>
          <w:marBottom w:val="0"/>
          <w:divBdr>
            <w:top w:val="none" w:sz="0" w:space="0" w:color="auto"/>
            <w:left w:val="none" w:sz="0" w:space="0" w:color="auto"/>
            <w:bottom w:val="none" w:sz="0" w:space="0" w:color="auto"/>
            <w:right w:val="none" w:sz="0" w:space="0" w:color="auto"/>
          </w:divBdr>
        </w:div>
        <w:div w:id="194657023">
          <w:marLeft w:val="0"/>
          <w:marRight w:val="0"/>
          <w:marTop w:val="0"/>
          <w:marBottom w:val="0"/>
          <w:divBdr>
            <w:top w:val="none" w:sz="0" w:space="0" w:color="auto"/>
            <w:left w:val="none" w:sz="0" w:space="0" w:color="auto"/>
            <w:bottom w:val="none" w:sz="0" w:space="0" w:color="auto"/>
            <w:right w:val="none" w:sz="0" w:space="0" w:color="auto"/>
          </w:divBdr>
        </w:div>
        <w:div w:id="1588535308">
          <w:marLeft w:val="0"/>
          <w:marRight w:val="0"/>
          <w:marTop w:val="0"/>
          <w:marBottom w:val="0"/>
          <w:divBdr>
            <w:top w:val="none" w:sz="0" w:space="0" w:color="auto"/>
            <w:left w:val="none" w:sz="0" w:space="0" w:color="auto"/>
            <w:bottom w:val="none" w:sz="0" w:space="0" w:color="auto"/>
            <w:right w:val="none" w:sz="0" w:space="0" w:color="auto"/>
          </w:divBdr>
        </w:div>
        <w:div w:id="2145736891">
          <w:marLeft w:val="0"/>
          <w:marRight w:val="0"/>
          <w:marTop w:val="0"/>
          <w:marBottom w:val="0"/>
          <w:divBdr>
            <w:top w:val="none" w:sz="0" w:space="0" w:color="auto"/>
            <w:left w:val="none" w:sz="0" w:space="0" w:color="auto"/>
            <w:bottom w:val="none" w:sz="0" w:space="0" w:color="auto"/>
            <w:right w:val="none" w:sz="0" w:space="0" w:color="auto"/>
          </w:divBdr>
        </w:div>
        <w:div w:id="256061786">
          <w:marLeft w:val="0"/>
          <w:marRight w:val="0"/>
          <w:marTop w:val="0"/>
          <w:marBottom w:val="0"/>
          <w:divBdr>
            <w:top w:val="none" w:sz="0" w:space="0" w:color="auto"/>
            <w:left w:val="none" w:sz="0" w:space="0" w:color="auto"/>
            <w:bottom w:val="none" w:sz="0" w:space="0" w:color="auto"/>
            <w:right w:val="none" w:sz="0" w:space="0" w:color="auto"/>
          </w:divBdr>
        </w:div>
        <w:div w:id="152431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h.fi/saadokset_ja_ohjeet/ohjeita_koulutuksen_jarjestamiseen/perusopetuksen_jarjestaminen/tietoa_tuen_jarjestamisesta/pidennetty_oppivelvollisu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2214</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Pussinen Katja</dc:creator>
  <cp:lastModifiedBy>Pussinen Katja</cp:lastModifiedBy>
  <cp:revision>2</cp:revision>
  <dcterms:created xsi:type="dcterms:W3CDTF">2014-10-03T05:53:00Z</dcterms:created>
  <dcterms:modified xsi:type="dcterms:W3CDTF">2014-10-03T05:53:00Z</dcterms:modified>
</cp:coreProperties>
</file>