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77195E">
      <w:pPr>
        <w:rPr>
          <w:b/>
          <w:sz w:val="28"/>
          <w:szCs w:val="28"/>
        </w:rPr>
      </w:pPr>
      <w:r>
        <w:rPr>
          <w:b/>
          <w:sz w:val="28"/>
          <w:szCs w:val="28"/>
        </w:rPr>
        <w:t>Matematiikka 4</w:t>
      </w:r>
      <w:r w:rsidR="00E5413C">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9F08D6" w:rsidTr="009F08D6">
        <w:tc>
          <w:tcPr>
            <w:tcW w:w="2914" w:type="dxa"/>
          </w:tcPr>
          <w:p w:rsidR="009F08D6" w:rsidRDefault="00447F0B" w:rsidP="00447F0B">
            <w:r>
              <w:t xml:space="preserve">T1 </w:t>
            </w:r>
            <w:r>
              <w:t>Oppilas vahvistaa jo harjoiteltuja taitoja, häntä kannustetaan oppimaan uutta. Oppilas ratkaisee tehtäviä, jotka tulevat oppilaan arjen tilanteista.</w:t>
            </w:r>
          </w:p>
        </w:tc>
        <w:tc>
          <w:tcPr>
            <w:tcW w:w="3602" w:type="dxa"/>
            <w:vMerge w:val="restart"/>
          </w:tcPr>
          <w:p w:rsidR="003C1912" w:rsidRPr="003C1912" w:rsidRDefault="00447F0B" w:rsidP="00447F0B">
            <w:pPr>
              <w:rPr>
                <w:rFonts w:eastAsia="Times New Roman" w:cs="Times New Roman"/>
                <w:b/>
                <w:lang w:eastAsia="fi-FI"/>
              </w:rPr>
            </w:pPr>
            <w:r w:rsidRPr="00447F0B">
              <w:rPr>
                <w:rFonts w:eastAsia="Times New Roman" w:cs="Times New Roman"/>
                <w:b/>
                <w:lang w:eastAsia="fi-FI"/>
              </w:rPr>
              <w:t>S1</w:t>
            </w:r>
            <w:r w:rsidRPr="003C1912">
              <w:rPr>
                <w:rFonts w:eastAsia="Times New Roman" w:cs="Times New Roman"/>
                <w:b/>
                <w:lang w:eastAsia="fi-FI"/>
              </w:rPr>
              <w:t xml:space="preserve"> </w:t>
            </w:r>
            <w:r w:rsidR="003C1912" w:rsidRPr="003C1912">
              <w:rPr>
                <w:rFonts w:eastAsia="Times New Roman" w:cs="Times New Roman"/>
                <w:b/>
                <w:lang w:eastAsia="fi-FI"/>
              </w:rPr>
              <w:t>Ajattelun taidot</w:t>
            </w:r>
          </w:p>
          <w:p w:rsidR="00447F0B" w:rsidRDefault="00447F0B" w:rsidP="00447F0B">
            <w:pPr>
              <w:rPr>
                <w:rFonts w:eastAsia="Times New Roman" w:cs="Times New Roman"/>
                <w:lang w:eastAsia="fi-FI"/>
              </w:rPr>
            </w:pPr>
            <w:r w:rsidRPr="00447F0B">
              <w:rPr>
                <w:rFonts w:eastAsia="Times New Roman" w:cs="Times New Roman"/>
                <w:lang w:eastAsia="fi-FI"/>
              </w:rPr>
              <w:t>Kehitetään oppilaiden taitoja löytää yhtäläisyyksiä, eroja ja säännönmukaisuuksia.</w:t>
            </w:r>
          </w:p>
          <w:p w:rsidR="00447F0B" w:rsidRPr="00447F0B" w:rsidRDefault="00447F0B" w:rsidP="00447F0B">
            <w:pPr>
              <w:rPr>
                <w:rFonts w:eastAsia="Times New Roman" w:cs="Times New Roman"/>
                <w:lang w:eastAsia="fi-FI"/>
              </w:rPr>
            </w:pPr>
          </w:p>
          <w:p w:rsidR="00447F0B" w:rsidRDefault="00447F0B" w:rsidP="00447F0B">
            <w:pPr>
              <w:rPr>
                <w:rFonts w:eastAsia="Times New Roman" w:cs="Times New Roman"/>
                <w:lang w:eastAsia="fi-FI"/>
              </w:rPr>
            </w:pPr>
            <w:r w:rsidRPr="00447F0B">
              <w:rPr>
                <w:rFonts w:eastAsia="Times New Roman" w:cs="Times New Roman"/>
                <w:lang w:eastAsia="fi-FI"/>
              </w:rPr>
              <w:t>Syvennetään taitoa vertailla, luokitella ja asettaa järjestykseen, etsiä vaihtoehtoja systemaattisesti, havaita syy- ja seuraussuhteita sekä yhteyksiä matematiikassa.</w:t>
            </w:r>
          </w:p>
          <w:p w:rsidR="00447F0B" w:rsidRPr="00447F0B" w:rsidRDefault="00447F0B" w:rsidP="00447F0B">
            <w:pPr>
              <w:rPr>
                <w:rFonts w:eastAsia="Times New Roman" w:cs="Times New Roman"/>
                <w:lang w:eastAsia="fi-FI"/>
              </w:rPr>
            </w:pPr>
          </w:p>
          <w:p w:rsidR="009F08D6" w:rsidRPr="00447F0B" w:rsidRDefault="00447F0B" w:rsidP="00610439">
            <w:pPr>
              <w:rPr>
                <w:rFonts w:eastAsia="Times New Roman" w:cs="Times New Roman"/>
                <w:lang w:eastAsia="fi-FI"/>
              </w:rPr>
            </w:pPr>
            <w:r w:rsidRPr="00447F0B">
              <w:rPr>
                <w:rFonts w:eastAsia="Times New Roman" w:cs="Times New Roman"/>
                <w:lang w:eastAsia="fi-FI"/>
              </w:rPr>
              <w:t>Toteutetaan ohjelmia graafisessa ohjelmointiympäris</w:t>
            </w:r>
            <w:r w:rsidRPr="00447F0B">
              <w:rPr>
                <w:rFonts w:eastAsia="Times New Roman" w:cs="Times New Roman"/>
                <w:lang w:eastAsia="fi-FI"/>
              </w:rPr>
              <w:br/>
              <w:t>tössä.</w:t>
            </w:r>
          </w:p>
          <w:p w:rsidR="0077195E" w:rsidRPr="0077195E" w:rsidRDefault="00447F0B" w:rsidP="0077195E">
            <w:pPr>
              <w:pStyle w:val="NormaaliWWW"/>
              <w:spacing w:before="0" w:beforeAutospacing="0" w:after="0" w:afterAutospacing="0"/>
              <w:rPr>
                <w:rFonts w:asciiTheme="minorHAnsi" w:hAnsiTheme="minorHAnsi"/>
                <w:sz w:val="22"/>
                <w:szCs w:val="22"/>
              </w:rPr>
            </w:pPr>
            <w:r w:rsidRPr="00447F0B">
              <w:rPr>
                <w:rFonts w:asciiTheme="minorHAnsi" w:hAnsiTheme="minorHAnsi"/>
                <w:b/>
                <w:sz w:val="22"/>
                <w:szCs w:val="22"/>
              </w:rPr>
              <w:t>S2</w:t>
            </w:r>
            <w:r w:rsidR="003C1912">
              <w:rPr>
                <w:rFonts w:asciiTheme="minorHAnsi" w:hAnsiTheme="minorHAnsi"/>
                <w:b/>
                <w:sz w:val="22"/>
                <w:szCs w:val="22"/>
              </w:rPr>
              <w:t xml:space="preserve"> Luvut ja laskutoimitukset</w:t>
            </w:r>
            <w:r w:rsidRPr="00447F0B">
              <w:rPr>
                <w:rFonts w:asciiTheme="minorHAnsi" w:hAnsiTheme="minorHAnsi"/>
                <w:b/>
                <w:sz w:val="22"/>
                <w:szCs w:val="22"/>
              </w:rPr>
              <w:t xml:space="preserve"> </w:t>
            </w:r>
            <w:r w:rsidR="0077195E" w:rsidRPr="0077195E">
              <w:rPr>
                <w:rFonts w:asciiTheme="minorHAnsi" w:hAnsiTheme="minorHAnsi"/>
                <w:sz w:val="22"/>
                <w:szCs w:val="22"/>
              </w:rPr>
              <w:t>Syvennetään oppilaiden ymmärrystä kymmenjärjestelmästä lukualueella 0- 10000 ja kehitetään lukualueen lukujonotaitoja.</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Käsitystä lukujen rakenteesta, yhteyksistä ja jaollisuudesta monipuolistetaan tutkimalla ja luokittelemalla lukuja. Pohjustetaan negatiivisen luvun käsite. Opitaan murtoluvun käsite.</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Harjaannutetaan taitoa laskea peruslaskutoimituksia päässä.</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lastRenderedPageBreak/>
              <w:t>Varmistetaan kertotaulujen 1-10 osaaminen.</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Harjoitellaan kertolaskualgoritmia ja varmistetaan sen osaaminen.</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Opiskellaan jakolaskua sekä sisältö- että ositusjakotilanteissa. Harjoitellaan lukuyksiköittäin jakamista.</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Hyödynnetään laskutoimitusten ominaisuuksia ja niiden välisiä yhteyksiä.</w:t>
            </w:r>
          </w:p>
          <w:p w:rsidR="00447F0B"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Oppilaita ohjataan pyöristämään lukuja ja laskemaan likiarvoilla siten, että he oppivat arvioimaan tuloksen suuruusluokan.</w:t>
            </w:r>
          </w:p>
          <w:p w:rsidR="003C1912" w:rsidRDefault="003C1912" w:rsidP="00610439">
            <w:pPr>
              <w:rPr>
                <w:rFonts w:eastAsia="Times New Roman" w:cs="Times New Roman"/>
                <w:b/>
                <w:lang w:eastAsia="fi-FI"/>
              </w:rPr>
            </w:pPr>
            <w:r>
              <w:rPr>
                <w:rFonts w:eastAsia="Times New Roman" w:cs="Times New Roman"/>
                <w:b/>
                <w:lang w:eastAsia="fi-FI"/>
              </w:rPr>
              <w:t>S3 Algebra</w:t>
            </w:r>
          </w:p>
          <w:p w:rsidR="003C1912" w:rsidRDefault="003C1912" w:rsidP="00610439">
            <w:r>
              <w:t>Tutkitaan lukujonon säännönmukaisuutta sekä jatketaan lukujonoa säännön mukaan.</w:t>
            </w:r>
          </w:p>
          <w:p w:rsidR="003C1912" w:rsidRDefault="003C1912" w:rsidP="00610439"/>
          <w:p w:rsidR="003C1912" w:rsidRPr="0077195E" w:rsidRDefault="003C1912" w:rsidP="0077195E">
            <w:pPr>
              <w:pStyle w:val="NormaaliWWW"/>
              <w:rPr>
                <w:rFonts w:asciiTheme="minorHAnsi" w:hAnsiTheme="minorHAnsi"/>
                <w:b/>
                <w:sz w:val="22"/>
                <w:szCs w:val="22"/>
              </w:rPr>
            </w:pPr>
            <w:r w:rsidRPr="0077195E">
              <w:rPr>
                <w:rFonts w:asciiTheme="minorHAnsi" w:hAnsiTheme="minorHAnsi"/>
                <w:b/>
                <w:sz w:val="22"/>
                <w:szCs w:val="22"/>
              </w:rPr>
              <w:t xml:space="preserve">S4 Geometria ja mittaaminen </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Rakennetaan, piirretään, tutkitaan ja luokitellaan kappaleita ja kuvioita.</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Perehdytään tarkemmin kolmioihin, nelikulmioihin ja ympyrään.</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lastRenderedPageBreak/>
              <w:t>Harjoitellaan kulmien luokittelemista.</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Käsitellään koordinaatistosta ensin ensimmäinen neljännes ja laajennetaan sitten kaikkiin neljänneksiin. Ohjataan oppilaita hyödyntämään mittakaavaa kartan käytössä.</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Harjoitellaan mittaamista ja kiinnitetään huomiota mittaustarkkuuteen, mittaustuloksen arviointiin ja mittauksen tarkistamiseen. Lasketaan erimuotoisten kuvioiden piirejä.</w:t>
            </w:r>
          </w:p>
          <w:p w:rsidR="0077195E" w:rsidRPr="0077195E" w:rsidRDefault="0077195E" w:rsidP="0077195E">
            <w:pPr>
              <w:spacing w:before="100" w:beforeAutospacing="1" w:after="100" w:afterAutospacing="1"/>
              <w:rPr>
                <w:rFonts w:eastAsia="Times New Roman" w:cs="Times New Roman"/>
                <w:lang w:eastAsia="fi-FI"/>
              </w:rPr>
            </w:pPr>
            <w:r w:rsidRPr="0077195E">
              <w:rPr>
                <w:rFonts w:eastAsia="Times New Roman" w:cs="Times New Roman"/>
                <w:lang w:eastAsia="fi-FI"/>
              </w:rPr>
              <w:t xml:space="preserve">Ohjataan oppilaita ymmärtämään, miten mittayksikköjärjestelmä rakentuu. Harjoitellaan yksikönmuunnoksia. </w:t>
            </w:r>
          </w:p>
        </w:tc>
        <w:tc>
          <w:tcPr>
            <w:tcW w:w="609" w:type="dxa"/>
          </w:tcPr>
          <w:p w:rsidR="009F08D6" w:rsidRDefault="00EA438F">
            <w:r>
              <w:lastRenderedPageBreak/>
              <w:t>L1</w:t>
            </w:r>
          </w:p>
          <w:p w:rsidR="00EA438F" w:rsidRDefault="003C1912">
            <w:r>
              <w:t>L3</w:t>
            </w:r>
          </w:p>
          <w:p w:rsidR="00EA438F" w:rsidRDefault="003C1912">
            <w:r>
              <w:t>L5</w:t>
            </w:r>
          </w:p>
        </w:tc>
        <w:tc>
          <w:tcPr>
            <w:tcW w:w="3502" w:type="dxa"/>
          </w:tcPr>
          <w:p w:rsidR="009F08D6" w:rsidRDefault="009F08D6"/>
        </w:tc>
        <w:tc>
          <w:tcPr>
            <w:tcW w:w="3367" w:type="dxa"/>
          </w:tcPr>
          <w:p w:rsidR="009F08D6" w:rsidRDefault="009F08D6"/>
        </w:tc>
      </w:tr>
      <w:tr w:rsidR="009F08D6" w:rsidTr="009F08D6">
        <w:tc>
          <w:tcPr>
            <w:tcW w:w="2914" w:type="dxa"/>
          </w:tcPr>
          <w:p w:rsidR="009F08D6" w:rsidRPr="00447F0B" w:rsidRDefault="00447F0B" w:rsidP="00447F0B">
            <w:pPr>
              <w:spacing w:before="100" w:beforeAutospacing="1" w:after="100" w:afterAutospacing="1"/>
              <w:rPr>
                <w:rFonts w:eastAsia="Times New Roman" w:cs="Times New Roman"/>
                <w:lang w:eastAsia="fi-FI"/>
              </w:rPr>
            </w:pPr>
            <w:r>
              <w:rPr>
                <w:rFonts w:eastAsia="Times New Roman" w:cs="Times New Roman"/>
                <w:lang w:eastAsia="fi-FI"/>
              </w:rPr>
              <w:t xml:space="preserve">T2 </w:t>
            </w:r>
            <w:r w:rsidRPr="00447F0B">
              <w:rPr>
                <w:rFonts w:eastAsia="Times New Roman" w:cs="Times New Roman"/>
                <w:lang w:eastAsia="fi-FI"/>
              </w:rPr>
              <w:t>Oppilas tunnistaa oppimiensa asioiden välisiä yhteyksistä.</w:t>
            </w:r>
            <w:r>
              <w:rPr>
                <w:rFonts w:eastAsia="Times New Roman" w:cs="Times New Roman"/>
                <w:lang w:eastAsia="fi-FI"/>
              </w:rPr>
              <w:t xml:space="preserve"> </w:t>
            </w:r>
            <w:r w:rsidRPr="00447F0B">
              <w:rPr>
                <w:rFonts w:eastAsia="Times New Roman" w:cs="Times New Roman"/>
                <w:lang w:eastAsia="fi-FI"/>
              </w:rPr>
              <w:t>Oppilas havaitsee syy- ja seuraussuhteita</w:t>
            </w:r>
          </w:p>
        </w:tc>
        <w:tc>
          <w:tcPr>
            <w:tcW w:w="3602" w:type="dxa"/>
            <w:vMerge/>
          </w:tcPr>
          <w:p w:rsidR="009F08D6" w:rsidRPr="009F08D6" w:rsidRDefault="009F08D6"/>
        </w:tc>
        <w:tc>
          <w:tcPr>
            <w:tcW w:w="609" w:type="dxa"/>
          </w:tcPr>
          <w:p w:rsidR="009F08D6" w:rsidRDefault="00EA438F">
            <w:r>
              <w:t>L1</w:t>
            </w:r>
          </w:p>
          <w:p w:rsidR="00EA438F" w:rsidRDefault="003C1912">
            <w:r>
              <w:t>L4</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447F0B" w:rsidP="00610439">
            <w:r w:rsidRPr="00447F0B">
              <w:rPr>
                <w:bCs/>
              </w:rPr>
              <w:t>T3</w:t>
            </w:r>
            <w:r>
              <w:t xml:space="preserve"> </w:t>
            </w:r>
            <w:r>
              <w:t>Oppilas osaa esittää matematiikan kannalta mielekkäitä kysymyksiä ja päätelmiä.</w:t>
            </w:r>
          </w:p>
        </w:tc>
        <w:tc>
          <w:tcPr>
            <w:tcW w:w="3602" w:type="dxa"/>
            <w:vMerge/>
          </w:tcPr>
          <w:p w:rsidR="009F08D6" w:rsidRPr="009F08D6" w:rsidRDefault="009F08D6"/>
        </w:tc>
        <w:tc>
          <w:tcPr>
            <w:tcW w:w="609" w:type="dxa"/>
          </w:tcPr>
          <w:p w:rsidR="009F08D6" w:rsidRDefault="00EA438F">
            <w:r>
              <w:t>L1</w:t>
            </w:r>
          </w:p>
          <w:p w:rsidR="00EA438F" w:rsidRDefault="003C1912">
            <w:r>
              <w:t>L3</w:t>
            </w:r>
          </w:p>
          <w:p w:rsidR="00EA438F" w:rsidRDefault="00EA438F">
            <w:r>
              <w:t>L4</w:t>
            </w:r>
          </w:p>
          <w:p w:rsidR="00EA438F" w:rsidRDefault="003C1912">
            <w:r>
              <w:t>L5</w:t>
            </w:r>
          </w:p>
        </w:tc>
        <w:tc>
          <w:tcPr>
            <w:tcW w:w="3502" w:type="dxa"/>
          </w:tcPr>
          <w:p w:rsidR="009F08D6" w:rsidRPr="00DF6BE9" w:rsidRDefault="009F08D6">
            <w:pPr>
              <w:rPr>
                <w:rFonts w:eastAsia="Times New Roman" w:cs="Times New Roman"/>
                <w:lang w:eastAsia="fi-FI"/>
              </w:rPr>
            </w:pPr>
          </w:p>
        </w:tc>
        <w:tc>
          <w:tcPr>
            <w:tcW w:w="3367" w:type="dxa"/>
          </w:tcPr>
          <w:p w:rsidR="009F08D6" w:rsidRPr="00DF6BE9" w:rsidRDefault="009F08D6">
            <w:pPr>
              <w:rPr>
                <w:rFonts w:eastAsia="Times New Roman" w:cs="Times New Roman"/>
                <w:lang w:eastAsia="fi-FI"/>
              </w:rPr>
            </w:pPr>
          </w:p>
        </w:tc>
      </w:tr>
      <w:tr w:rsidR="009F08D6" w:rsidTr="009F08D6">
        <w:tc>
          <w:tcPr>
            <w:tcW w:w="2914" w:type="dxa"/>
          </w:tcPr>
          <w:p w:rsidR="009F08D6" w:rsidRDefault="00447F0B" w:rsidP="00610439">
            <w:r>
              <w:t xml:space="preserve">T 4 </w:t>
            </w:r>
            <w:r>
              <w:t>Oppilas osaa ilmaista ratkaisujaan konkreettisin välinein, piirroksin ja suullisesti.</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3C1912"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9F08D6" w:rsidP="00447F0B">
            <w:r w:rsidRPr="007F1481">
              <w:rPr>
                <w:rFonts w:eastAsia="Times New Roman" w:cs="Times New Roman"/>
                <w:lang w:eastAsia="fi-FI"/>
              </w:rPr>
              <w:t>T5</w:t>
            </w:r>
            <w:r w:rsidR="00610439">
              <w:t xml:space="preserve"> </w:t>
            </w:r>
            <w:r w:rsidR="00447F0B">
              <w:t>Op</w:t>
            </w:r>
            <w:r w:rsidR="00447F0B">
              <w:t>pilas kehittää ongelmanratkaisu</w:t>
            </w:r>
            <w:r w:rsidR="00447F0B">
              <w:t>taitojaan.</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EA6950" w:rsidP="00447F0B">
            <w:r>
              <w:rPr>
                <w:rFonts w:eastAsia="Times New Roman" w:cs="Times New Roman"/>
                <w:lang w:eastAsia="fi-FI"/>
              </w:rPr>
              <w:t>T6</w:t>
            </w:r>
            <w:r w:rsidR="00610439">
              <w:t xml:space="preserve"> </w:t>
            </w:r>
            <w:r w:rsidR="00447F0B">
              <w:t>Oppilas harjoittelee arvioimaan ratkaisun järkevyyttä ja tuloksen mielekkyyttä</w:t>
            </w:r>
            <w:r w:rsidR="00447F0B">
              <w:rPr>
                <w:b/>
                <w:bCs/>
              </w:rPr>
              <w:t>.</w:t>
            </w:r>
          </w:p>
        </w:tc>
        <w:tc>
          <w:tcPr>
            <w:tcW w:w="3602" w:type="dxa"/>
            <w:vMerge/>
          </w:tcPr>
          <w:p w:rsidR="009F08D6" w:rsidRPr="009F08D6" w:rsidRDefault="009F08D6"/>
        </w:tc>
        <w:tc>
          <w:tcPr>
            <w:tcW w:w="609" w:type="dxa"/>
          </w:tcPr>
          <w:p w:rsidR="009F08D6" w:rsidRDefault="00EA438F" w:rsidP="002D7C85">
            <w:r>
              <w:t>L1</w:t>
            </w:r>
          </w:p>
          <w:p w:rsidR="003C1912" w:rsidRDefault="00EA438F" w:rsidP="003C1912">
            <w:r>
              <w:t>L</w:t>
            </w:r>
            <w:r w:rsidR="003C1912">
              <w:t>3</w:t>
            </w:r>
          </w:p>
          <w:p w:rsidR="00EA438F" w:rsidRDefault="00EA438F" w:rsidP="002D7C85"/>
        </w:tc>
        <w:tc>
          <w:tcPr>
            <w:tcW w:w="3502" w:type="dxa"/>
          </w:tcPr>
          <w:p w:rsidR="009F08D6" w:rsidRPr="00B132F9" w:rsidRDefault="009F08D6">
            <w:pPr>
              <w:rPr>
                <w:rFonts w:eastAsia="Times New Roman" w:cs="Times New Roman"/>
                <w:lang w:eastAsia="fi-FI"/>
              </w:rPr>
            </w:pPr>
          </w:p>
        </w:tc>
        <w:tc>
          <w:tcPr>
            <w:tcW w:w="3367" w:type="dxa"/>
          </w:tcPr>
          <w:p w:rsidR="009F08D6" w:rsidRPr="00B132F9" w:rsidRDefault="009F08D6">
            <w:pPr>
              <w:rPr>
                <w:rFonts w:eastAsia="Times New Roman" w:cs="Times New Roman"/>
                <w:lang w:eastAsia="fi-FI"/>
              </w:rPr>
            </w:pPr>
          </w:p>
        </w:tc>
      </w:tr>
      <w:tr w:rsidR="009F08D6" w:rsidTr="009F08D6">
        <w:tc>
          <w:tcPr>
            <w:tcW w:w="2914" w:type="dxa"/>
          </w:tcPr>
          <w:p w:rsidR="009F08D6" w:rsidRDefault="009F08D6" w:rsidP="0077195E">
            <w:r w:rsidRPr="00423FD7">
              <w:rPr>
                <w:rFonts w:eastAsia="Times New Roman" w:cs="Times New Roman"/>
                <w:lang w:eastAsia="fi-FI"/>
              </w:rPr>
              <w:t>T7</w:t>
            </w:r>
            <w:r w:rsidR="00FF0349">
              <w:t xml:space="preserve"> </w:t>
            </w:r>
            <w:r w:rsidR="0077195E">
              <w:t xml:space="preserve"> </w:t>
            </w:r>
            <w:r w:rsidR="0077195E">
              <w:t>Oppilas osaa käyttää esimerkiksi kerto- ja jakolaskun ja geometrian matemaattisia käsitteitä ja yksikkömerkintöjä matemaattisessa ilmaisussa.</w:t>
            </w:r>
          </w:p>
        </w:tc>
        <w:tc>
          <w:tcPr>
            <w:tcW w:w="3602" w:type="dxa"/>
            <w:vMerge/>
          </w:tcPr>
          <w:p w:rsidR="009F08D6" w:rsidRPr="009F08D6" w:rsidRDefault="009F08D6"/>
        </w:tc>
        <w:tc>
          <w:tcPr>
            <w:tcW w:w="609" w:type="dxa"/>
          </w:tcPr>
          <w:p w:rsidR="009F08D6" w:rsidRDefault="00EA438F" w:rsidP="002D7C85">
            <w:r>
              <w:t>L1</w:t>
            </w:r>
          </w:p>
          <w:p w:rsidR="00EA438F" w:rsidRDefault="003C1912" w:rsidP="002D7C85">
            <w:r>
              <w:t>L4</w:t>
            </w:r>
          </w:p>
        </w:tc>
        <w:tc>
          <w:tcPr>
            <w:tcW w:w="3502" w:type="dxa"/>
          </w:tcPr>
          <w:p w:rsidR="009F08D6" w:rsidRDefault="009F08D6">
            <w:pPr>
              <w:rPr>
                <w:rFonts w:eastAsia="Times New Roman" w:cs="Times New Roman"/>
                <w:lang w:eastAsia="fi-FI"/>
              </w:rPr>
            </w:pPr>
          </w:p>
        </w:tc>
        <w:tc>
          <w:tcPr>
            <w:tcW w:w="3367" w:type="dxa"/>
          </w:tcPr>
          <w:p w:rsidR="009F08D6" w:rsidRDefault="009F08D6">
            <w:pPr>
              <w:rPr>
                <w:rFonts w:eastAsia="Times New Roman" w:cs="Times New Roman"/>
                <w:lang w:eastAsia="fi-FI"/>
              </w:rPr>
            </w:pPr>
          </w:p>
        </w:tc>
      </w:tr>
      <w:tr w:rsidR="009F08D6" w:rsidTr="009F08D6">
        <w:tc>
          <w:tcPr>
            <w:tcW w:w="2914" w:type="dxa"/>
          </w:tcPr>
          <w:p w:rsidR="009F08D6" w:rsidRDefault="009F08D6" w:rsidP="00447F0B">
            <w:r>
              <w:rPr>
                <w:rFonts w:eastAsia="Times New Roman" w:cs="Times New Roman"/>
                <w:lang w:eastAsia="fi-FI"/>
              </w:rPr>
              <w:lastRenderedPageBreak/>
              <w:t>T8</w:t>
            </w:r>
            <w:r w:rsidR="00610439">
              <w:t xml:space="preserve"> </w:t>
            </w:r>
            <w:r w:rsidR="00447F0B">
              <w:t>Oppilas hallitsee kymmenjärjestelmän periaatteen lukualueella 0-1000.</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tc>
        <w:tc>
          <w:tcPr>
            <w:tcW w:w="3502" w:type="dxa"/>
          </w:tcPr>
          <w:p w:rsidR="009F08D6" w:rsidRDefault="009F08D6">
            <w:pPr>
              <w:rPr>
                <w:rFonts w:ascii="Calibri" w:eastAsia="Calibri" w:hAnsi="Calibri" w:cs="Calibri"/>
                <w:color w:val="000000"/>
              </w:rPr>
            </w:pPr>
          </w:p>
        </w:tc>
        <w:tc>
          <w:tcPr>
            <w:tcW w:w="3367" w:type="dxa"/>
          </w:tcPr>
          <w:p w:rsidR="009F08D6" w:rsidRDefault="009F08D6">
            <w:pPr>
              <w:rPr>
                <w:rFonts w:ascii="Calibri" w:eastAsia="Calibri" w:hAnsi="Calibri" w:cs="Calibri"/>
                <w:color w:val="000000"/>
              </w:rPr>
            </w:pPr>
          </w:p>
        </w:tc>
      </w:tr>
      <w:tr w:rsidR="009F08D6" w:rsidTr="009F08D6">
        <w:tc>
          <w:tcPr>
            <w:tcW w:w="2914" w:type="dxa"/>
          </w:tcPr>
          <w:p w:rsidR="009F08D6" w:rsidRPr="00447F0B" w:rsidRDefault="00447F0B" w:rsidP="00447F0B">
            <w:pPr>
              <w:rPr>
                <w:rFonts w:eastAsia="Times New Roman" w:cs="Times New Roman"/>
                <w:lang w:eastAsia="fi-FI"/>
              </w:rPr>
            </w:pPr>
            <w:r>
              <w:t xml:space="preserve">T 9 </w:t>
            </w:r>
            <w:r>
              <w:t>Oppilas osaa käyttää kokonaislukuja lukualueella 0-1000.</w:t>
            </w:r>
          </w:p>
        </w:tc>
        <w:tc>
          <w:tcPr>
            <w:tcW w:w="3602" w:type="dxa"/>
            <w:vMerge/>
          </w:tcPr>
          <w:p w:rsidR="009F08D6" w:rsidRPr="009F08D6" w:rsidRDefault="009F08D6"/>
        </w:tc>
        <w:tc>
          <w:tcPr>
            <w:tcW w:w="609" w:type="dxa"/>
          </w:tcPr>
          <w:p w:rsidR="009F08D6" w:rsidRDefault="00EA438F" w:rsidP="002D7C85">
            <w:r>
              <w:t>L1</w:t>
            </w:r>
          </w:p>
          <w:p w:rsidR="00EA438F" w:rsidRDefault="003C1912" w:rsidP="002D7C85">
            <w:r>
              <w:t>L4</w:t>
            </w:r>
          </w:p>
          <w:p w:rsidR="00EA438F" w:rsidRDefault="00EA438F" w:rsidP="002D7C85"/>
        </w:tc>
        <w:tc>
          <w:tcPr>
            <w:tcW w:w="3502" w:type="dxa"/>
          </w:tcPr>
          <w:p w:rsidR="009F08D6" w:rsidRPr="00E14A02" w:rsidRDefault="009F08D6">
            <w:pPr>
              <w:rPr>
                <w:rFonts w:eastAsia="Times New Roman" w:cs="Times New Roman"/>
                <w:lang w:eastAsia="fi-FI"/>
              </w:rPr>
            </w:pPr>
          </w:p>
        </w:tc>
        <w:tc>
          <w:tcPr>
            <w:tcW w:w="3367" w:type="dxa"/>
          </w:tcPr>
          <w:p w:rsidR="009F08D6" w:rsidRPr="00E14A02" w:rsidRDefault="009F08D6">
            <w:pPr>
              <w:rPr>
                <w:rFonts w:eastAsia="Times New Roman" w:cs="Times New Roman"/>
                <w:lang w:eastAsia="fi-FI"/>
              </w:rPr>
            </w:pPr>
          </w:p>
        </w:tc>
      </w:tr>
      <w:tr w:rsidR="009F08D6" w:rsidTr="009F08D6">
        <w:tc>
          <w:tcPr>
            <w:tcW w:w="2914" w:type="dxa"/>
          </w:tcPr>
          <w:p w:rsidR="009F08D6" w:rsidRDefault="009F08D6" w:rsidP="0077195E">
            <w:r>
              <w:t>T 10</w:t>
            </w:r>
            <w:r w:rsidR="006E67C2">
              <w:t xml:space="preserve"> </w:t>
            </w:r>
            <w:r w:rsidR="0077195E">
              <w:t>Oppilas laskee sujuvasti kerto- ja jakolaskuja hyödyntäen niiden ominaisuuksia.</w:t>
            </w:r>
          </w:p>
        </w:tc>
        <w:tc>
          <w:tcPr>
            <w:tcW w:w="3602" w:type="dxa"/>
            <w:vMerge/>
          </w:tcPr>
          <w:p w:rsidR="009F08D6" w:rsidRPr="009F08D6" w:rsidRDefault="009F08D6" w:rsidP="005B1545"/>
        </w:tc>
        <w:tc>
          <w:tcPr>
            <w:tcW w:w="609" w:type="dxa"/>
          </w:tcPr>
          <w:p w:rsidR="009F08D6" w:rsidRDefault="00EA438F" w:rsidP="005B1545">
            <w:r>
              <w:t>L1</w:t>
            </w:r>
          </w:p>
          <w:p w:rsidR="00EA438F" w:rsidRDefault="003C1912" w:rsidP="005B1545">
            <w:r>
              <w:t>L3</w:t>
            </w:r>
          </w:p>
          <w:p w:rsidR="00EA438F" w:rsidRDefault="003C1912" w:rsidP="005B1545">
            <w:r>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447F0B" w:rsidP="0077195E">
            <w:r>
              <w:t xml:space="preserve">T11 </w:t>
            </w:r>
            <w:r w:rsidR="0077195E">
              <w:t>Oppilas osaa luokitella tasokuvioita niiden ominaisuuksia kuvaavilla geometrisillä käsitteillä (esim. kulma, sivu, säde, halkaisija).</w:t>
            </w:r>
          </w:p>
        </w:tc>
        <w:tc>
          <w:tcPr>
            <w:tcW w:w="3602" w:type="dxa"/>
            <w:vMerge/>
          </w:tcPr>
          <w:p w:rsidR="009F08D6" w:rsidRDefault="009F08D6" w:rsidP="005B1545"/>
        </w:tc>
        <w:tc>
          <w:tcPr>
            <w:tcW w:w="609" w:type="dxa"/>
          </w:tcPr>
          <w:p w:rsidR="00EA438F" w:rsidRDefault="00EA438F" w:rsidP="005B1545">
            <w:r>
              <w:t>L4</w:t>
            </w:r>
          </w:p>
          <w:p w:rsidR="00EA438F" w:rsidRDefault="00EA438F"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Pr="00447F0B" w:rsidRDefault="009F08D6" w:rsidP="0077195E">
            <w:pPr>
              <w:pStyle w:val="NormaaliWWW"/>
              <w:rPr>
                <w:rFonts w:asciiTheme="minorHAnsi" w:hAnsiTheme="minorHAnsi"/>
                <w:sz w:val="22"/>
                <w:szCs w:val="22"/>
              </w:rPr>
            </w:pPr>
            <w:r w:rsidRPr="006E67C2">
              <w:rPr>
                <w:rFonts w:asciiTheme="minorHAnsi" w:hAnsiTheme="minorHAnsi"/>
                <w:sz w:val="22"/>
                <w:szCs w:val="22"/>
              </w:rPr>
              <w:t>T 12</w:t>
            </w:r>
            <w:r w:rsidR="006E67C2" w:rsidRPr="006E67C2">
              <w:rPr>
                <w:rFonts w:asciiTheme="minorHAnsi" w:hAnsiTheme="minorHAnsi"/>
                <w:sz w:val="22"/>
                <w:szCs w:val="22"/>
              </w:rPr>
              <w:t xml:space="preserve"> </w:t>
            </w:r>
            <w:r w:rsidR="0077195E" w:rsidRPr="0077195E">
              <w:rPr>
                <w:rFonts w:asciiTheme="minorHAnsi" w:hAnsiTheme="minorHAnsi"/>
                <w:sz w:val="22"/>
                <w:szCs w:val="22"/>
              </w:rPr>
              <w:t>Oppilas osaa valita sopivan mittavälineen, mitata ja arvioida mittaustuloksen järkevyyttä. Oppilas osaa laskea piirejä.</w:t>
            </w:r>
          </w:p>
        </w:tc>
        <w:tc>
          <w:tcPr>
            <w:tcW w:w="3602" w:type="dxa"/>
            <w:vMerge/>
          </w:tcPr>
          <w:p w:rsidR="009F08D6" w:rsidRDefault="009F08D6" w:rsidP="005B1545"/>
        </w:tc>
        <w:tc>
          <w:tcPr>
            <w:tcW w:w="609" w:type="dxa"/>
          </w:tcPr>
          <w:p w:rsidR="009F08D6" w:rsidRDefault="003C1912" w:rsidP="005B1545">
            <w:r>
              <w:t>L1</w:t>
            </w:r>
          </w:p>
          <w:p w:rsidR="00EA438F" w:rsidRDefault="003C1912" w:rsidP="005B1545">
            <w:r>
              <w:t>L3</w:t>
            </w:r>
          </w:p>
          <w:p w:rsidR="00EA438F" w:rsidRDefault="00EA438F" w:rsidP="005B1545">
            <w:r>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77195E">
            <w:r>
              <w:t>T 13</w:t>
            </w:r>
            <w:r w:rsidR="006E67C2">
              <w:t xml:space="preserve"> </w:t>
            </w:r>
            <w:r w:rsidR="0077195E">
              <w:t>Oppilas osaa kerätä tietoa järjestelmällisesti sekä tallentaa ja esitellä tietoa taulukoiden ja diagrammien avulla</w:t>
            </w:r>
          </w:p>
        </w:tc>
        <w:tc>
          <w:tcPr>
            <w:tcW w:w="3602" w:type="dxa"/>
            <w:vMerge/>
          </w:tcPr>
          <w:p w:rsidR="009F08D6" w:rsidRDefault="009F08D6" w:rsidP="005B1545"/>
        </w:tc>
        <w:tc>
          <w:tcPr>
            <w:tcW w:w="609" w:type="dxa"/>
          </w:tcPr>
          <w:p w:rsidR="009F08D6" w:rsidRDefault="003C1912" w:rsidP="005B1545">
            <w:r>
              <w:t>L4</w:t>
            </w:r>
          </w:p>
          <w:p w:rsidR="00236239" w:rsidRDefault="003C1912"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77195E">
            <w:r>
              <w:t>T 14</w:t>
            </w:r>
            <w:r w:rsidR="006E67C2">
              <w:t xml:space="preserve"> </w:t>
            </w:r>
            <w:r w:rsidR="0077195E">
              <w:t>Oppilas osaa laatia loogisen toiminta-ohjeen graafisessa ohjelmointiympä</w:t>
            </w:r>
            <w:r w:rsidR="0077195E">
              <w:br/>
              <w:t>ristössä.</w:t>
            </w:r>
          </w:p>
        </w:tc>
        <w:tc>
          <w:tcPr>
            <w:tcW w:w="3602" w:type="dxa"/>
            <w:vMerge/>
          </w:tcPr>
          <w:p w:rsidR="009F08D6" w:rsidRDefault="009F08D6" w:rsidP="005B1545"/>
        </w:tc>
        <w:tc>
          <w:tcPr>
            <w:tcW w:w="609" w:type="dxa"/>
          </w:tcPr>
          <w:p w:rsidR="00236239" w:rsidRDefault="006E3AC9" w:rsidP="005B1545">
            <w:r>
              <w:t>L1</w:t>
            </w:r>
          </w:p>
          <w:p w:rsidR="003C1912" w:rsidRDefault="006E3AC9" w:rsidP="005B1545">
            <w:r>
              <w:t>L4</w:t>
            </w:r>
          </w:p>
          <w:p w:rsidR="006E3AC9" w:rsidRDefault="006E3AC9" w:rsidP="005B1545">
            <w:r>
              <w:t>L5</w:t>
            </w:r>
          </w:p>
          <w:p w:rsidR="006E3AC9" w:rsidRDefault="006E3AC9" w:rsidP="005B1545">
            <w:r>
              <w:t>L6</w:t>
            </w:r>
          </w:p>
        </w:tc>
        <w:tc>
          <w:tcPr>
            <w:tcW w:w="3502" w:type="dxa"/>
          </w:tcPr>
          <w:p w:rsidR="009F08D6" w:rsidRDefault="009F08D6" w:rsidP="005B1545"/>
        </w:tc>
        <w:tc>
          <w:tcPr>
            <w:tcW w:w="3367" w:type="dxa"/>
          </w:tcPr>
          <w:p w:rsidR="009F08D6" w:rsidRDefault="009F08D6"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lastRenderedPageBreak/>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L1</w:t>
      </w:r>
      <w:r w:rsidR="006E3AC9">
        <w:rPr>
          <w:rFonts w:asciiTheme="minorHAnsi" w:hAnsiTheme="minorHAnsi"/>
          <w:b/>
          <w:sz w:val="22"/>
          <w:szCs w:val="22"/>
          <w:u w:val="single"/>
        </w:rPr>
        <w:t xml:space="preserve"> </w:t>
      </w:r>
      <w:r w:rsidR="0077195E">
        <w:rPr>
          <w:rFonts w:asciiTheme="minorHAnsi" w:hAnsiTheme="minorHAnsi"/>
          <w:b/>
          <w:sz w:val="22"/>
          <w:szCs w:val="22"/>
          <w:u w:val="single"/>
        </w:rPr>
        <w:t>matematiikan opetuksessa 4</w:t>
      </w:r>
      <w:r w:rsidR="006E3AC9">
        <w:rPr>
          <w:rFonts w:asciiTheme="minorHAnsi" w:hAnsiTheme="minorHAnsi"/>
          <w:b/>
          <w:sz w:val="22"/>
          <w:szCs w:val="22"/>
          <w:u w:val="single"/>
        </w:rPr>
        <w:t>.luokalla</w:t>
      </w:r>
      <w:r w:rsidRPr="002D18F4">
        <w:rPr>
          <w:rFonts w:asciiTheme="minorHAnsi" w:hAnsiTheme="minorHAnsi"/>
          <w:b/>
          <w:sz w:val="22"/>
          <w:szCs w:val="22"/>
          <w:u w:val="single"/>
        </w:rPr>
        <w:t>:</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77195E"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6E3AC9" w:rsidRPr="006E3AC9">
        <w:rPr>
          <w:rFonts w:asciiTheme="minorHAnsi" w:hAnsiTheme="minorHAnsi"/>
          <w:b/>
          <w:sz w:val="22"/>
          <w:szCs w:val="22"/>
          <w:u w:val="single"/>
        </w:rPr>
        <w:t xml:space="preserve"> </w:t>
      </w:r>
      <w:r w:rsidR="0077195E">
        <w:rPr>
          <w:rFonts w:asciiTheme="minorHAnsi" w:hAnsiTheme="minorHAnsi"/>
          <w:b/>
          <w:sz w:val="22"/>
          <w:szCs w:val="22"/>
          <w:u w:val="single"/>
        </w:rPr>
        <w:t>matematiikan opetuksessa 4</w:t>
      </w:r>
      <w:r w:rsidR="006E3AC9">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77195E"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xml:space="preserve">. Yhteisessä työskentelyssä oppilaat voivat kehittää tunnetaitojaan ja sosiaalisia taitojaan. </w:t>
      </w:r>
      <w:r w:rsidRPr="002D18F4">
        <w:rPr>
          <w:rFonts w:asciiTheme="minorHAnsi" w:hAnsiTheme="minorHAnsi"/>
          <w:sz w:val="22"/>
          <w:szCs w:val="22"/>
        </w:rPr>
        <w:lastRenderedPageBreak/>
        <w:t>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6E3AC9" w:rsidRPr="006E3AC9">
        <w:rPr>
          <w:rFonts w:asciiTheme="minorHAnsi" w:hAnsiTheme="minorHAnsi"/>
          <w:b/>
          <w:sz w:val="22"/>
          <w:szCs w:val="22"/>
          <w:u w:val="single"/>
        </w:rPr>
        <w:t xml:space="preserve"> </w:t>
      </w:r>
      <w:r w:rsidR="0077195E">
        <w:rPr>
          <w:rFonts w:asciiTheme="minorHAnsi" w:hAnsiTheme="minorHAnsi"/>
          <w:b/>
          <w:sz w:val="22"/>
          <w:szCs w:val="22"/>
          <w:u w:val="single"/>
        </w:rPr>
        <w:t>matematiikan opetuksessa 4</w:t>
      </w:r>
      <w:r w:rsidR="006E3AC9">
        <w:rPr>
          <w:rFonts w:asciiTheme="minorHAnsi" w:hAnsiTheme="minorHAnsi"/>
          <w:b/>
          <w:sz w:val="22"/>
          <w:szCs w:val="22"/>
          <w:u w:val="single"/>
        </w:rPr>
        <w:t>.luokalla</w:t>
      </w:r>
      <w:r w:rsidR="006E3AC9">
        <w:rPr>
          <w:rFonts w:asciiTheme="minorHAnsi" w:hAnsiTheme="minorHAnsi"/>
          <w:b/>
          <w:sz w:val="22"/>
          <w:szCs w:val="22"/>
          <w:u w:val="single"/>
        </w:rPr>
        <w:t xml:space="preserve"> </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77195E"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lastRenderedPageBreak/>
        <w:t>L4</w:t>
      </w:r>
      <w:r w:rsidR="006E3AC9">
        <w:rPr>
          <w:rFonts w:asciiTheme="minorHAnsi" w:hAnsiTheme="minorHAnsi"/>
          <w:b/>
          <w:sz w:val="22"/>
          <w:szCs w:val="22"/>
          <w:u w:val="single"/>
        </w:rPr>
        <w:t xml:space="preserve"> </w:t>
      </w:r>
      <w:r w:rsidR="0077195E">
        <w:rPr>
          <w:rFonts w:asciiTheme="minorHAnsi" w:hAnsiTheme="minorHAnsi"/>
          <w:b/>
          <w:sz w:val="22"/>
          <w:szCs w:val="22"/>
          <w:u w:val="single"/>
        </w:rPr>
        <w:t>matematiikan opetuksessa 4</w:t>
      </w:r>
      <w:r w:rsidR="006E3AC9">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77195E"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6E3AC9" w:rsidRPr="006E3AC9">
        <w:rPr>
          <w:rFonts w:asciiTheme="minorHAnsi" w:hAnsiTheme="minorHAnsi"/>
          <w:b/>
          <w:sz w:val="22"/>
          <w:szCs w:val="22"/>
          <w:u w:val="single"/>
        </w:rPr>
        <w:t xml:space="preserve"> </w:t>
      </w:r>
      <w:r w:rsidR="0077195E">
        <w:rPr>
          <w:rFonts w:asciiTheme="minorHAnsi" w:hAnsiTheme="minorHAnsi"/>
          <w:b/>
          <w:sz w:val="22"/>
          <w:szCs w:val="22"/>
          <w:u w:val="single"/>
        </w:rPr>
        <w:t>matematiikan opetuksessa 4</w:t>
      </w:r>
      <w:r w:rsidR="006E3AC9">
        <w:rPr>
          <w:rFonts w:asciiTheme="minorHAnsi" w:hAnsiTheme="minorHAnsi"/>
          <w:b/>
          <w:sz w:val="22"/>
          <w:szCs w:val="22"/>
          <w:u w:val="single"/>
        </w:rPr>
        <w:t>.luokalla</w:t>
      </w:r>
      <w:r w:rsidR="006E3AC9">
        <w:rPr>
          <w:rFonts w:asciiTheme="minorHAnsi" w:hAnsiTheme="minorHAnsi"/>
          <w:b/>
          <w:sz w:val="22"/>
          <w:szCs w:val="22"/>
          <w:u w:val="single"/>
        </w:rPr>
        <w:t xml:space="preserve"> </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77195E"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 xml:space="preserve">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w:t>
      </w:r>
      <w:r w:rsidRPr="002D18F4">
        <w:rPr>
          <w:rFonts w:eastAsia="Times New Roman" w:cs="Times New Roman"/>
          <w:lang w:eastAsia="fi-FI"/>
        </w:rPr>
        <w:lastRenderedPageBreak/>
        <w:t>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6E3AC9">
        <w:rPr>
          <w:rFonts w:asciiTheme="minorHAnsi" w:hAnsiTheme="minorHAnsi"/>
          <w:b/>
          <w:sz w:val="22"/>
          <w:szCs w:val="22"/>
          <w:u w:val="single"/>
        </w:rPr>
        <w:t xml:space="preserve"> </w:t>
      </w:r>
      <w:r w:rsidR="0077195E">
        <w:rPr>
          <w:rFonts w:asciiTheme="minorHAnsi" w:hAnsiTheme="minorHAnsi"/>
          <w:b/>
          <w:sz w:val="22"/>
          <w:szCs w:val="22"/>
          <w:u w:val="single"/>
        </w:rPr>
        <w:t>matematiikan opetuksessa 4</w:t>
      </w:r>
      <w:r w:rsidR="006E3AC9">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77195E"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6E3AC9">
        <w:rPr>
          <w:rFonts w:asciiTheme="minorHAnsi" w:hAnsiTheme="minorHAnsi"/>
          <w:b/>
          <w:sz w:val="22"/>
          <w:szCs w:val="22"/>
          <w:u w:val="single"/>
        </w:rPr>
        <w:t xml:space="preserve"> </w:t>
      </w:r>
      <w:r w:rsidR="0077195E">
        <w:rPr>
          <w:rFonts w:asciiTheme="minorHAnsi" w:hAnsiTheme="minorHAnsi"/>
          <w:b/>
          <w:sz w:val="22"/>
          <w:szCs w:val="22"/>
          <w:u w:val="single"/>
        </w:rPr>
        <w:t>matematiikan opetuksessa 4</w:t>
      </w:r>
      <w:bookmarkStart w:id="0" w:name="_GoBack"/>
      <w:bookmarkEnd w:id="0"/>
      <w:r w:rsidR="006E3AC9">
        <w:rPr>
          <w:rFonts w:asciiTheme="minorHAnsi" w:hAnsiTheme="minorHAnsi"/>
          <w:b/>
          <w:sz w:val="22"/>
          <w:szCs w:val="22"/>
          <w:u w:val="single"/>
        </w:rPr>
        <w:t>.luokalla</w:t>
      </w:r>
      <w:r w:rsidRPr="002D18F4">
        <w:rPr>
          <w:rFonts w:asciiTheme="minorHAnsi" w:hAnsiTheme="minorHAnsi"/>
          <w:b/>
          <w:sz w:val="22"/>
          <w:szCs w:val="22"/>
          <w:u w:val="single"/>
        </w:rPr>
        <w:t>:</w:t>
      </w:r>
    </w:p>
    <w:p w:rsidR="00236239" w:rsidRDefault="009A57F7" w:rsidP="009A57F7">
      <w:pPr>
        <w:pStyle w:val="Luettelokappale"/>
        <w:numPr>
          <w:ilvl w:val="0"/>
          <w:numId w:val="5"/>
        </w:numPr>
      </w:pPr>
      <w:r>
        <w:t xml:space="preserve">Kestävän </w:t>
      </w:r>
      <w:r w:rsidR="00236239">
        <w:t>elämäntavan toimint</w:t>
      </w:r>
      <w:r>
        <w:t>aohjelma</w:t>
      </w:r>
    </w:p>
    <w:p w:rsidR="004C0135" w:rsidRDefault="004C0135" w:rsidP="004C0135">
      <w:pPr>
        <w:pStyle w:val="Luettelokappale"/>
      </w:pPr>
    </w:p>
    <w:p w:rsidR="006E3AC9" w:rsidRDefault="006E3AC9" w:rsidP="004C0135">
      <w:pPr>
        <w:pStyle w:val="Luettelokappale"/>
      </w:pPr>
    </w:p>
    <w:p w:rsidR="006E3AC9" w:rsidRDefault="006E3AC9" w:rsidP="004C0135">
      <w:pPr>
        <w:pStyle w:val="Luettelokappale"/>
      </w:pPr>
    </w:p>
    <w:p w:rsidR="006E3AC9" w:rsidRDefault="006E3AC9" w:rsidP="004C0135">
      <w:pPr>
        <w:pStyle w:val="Luettelokappale"/>
      </w:pPr>
    </w:p>
    <w:p w:rsidR="006E3AC9" w:rsidRDefault="006E3AC9" w:rsidP="004C0135">
      <w:pPr>
        <w:pStyle w:val="Luettelokappale"/>
      </w:pPr>
    </w:p>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lastRenderedPageBreak/>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36239"/>
    <w:rsid w:val="002A2611"/>
    <w:rsid w:val="002D18F4"/>
    <w:rsid w:val="002D7C85"/>
    <w:rsid w:val="003C1912"/>
    <w:rsid w:val="004016D2"/>
    <w:rsid w:val="00411768"/>
    <w:rsid w:val="0042164B"/>
    <w:rsid w:val="00447F0B"/>
    <w:rsid w:val="004C0135"/>
    <w:rsid w:val="005B1545"/>
    <w:rsid w:val="005F6E30"/>
    <w:rsid w:val="00610439"/>
    <w:rsid w:val="00620F40"/>
    <w:rsid w:val="006C0FC8"/>
    <w:rsid w:val="006E3AC9"/>
    <w:rsid w:val="006E67C2"/>
    <w:rsid w:val="0077195E"/>
    <w:rsid w:val="009A57F7"/>
    <w:rsid w:val="009F08D6"/>
    <w:rsid w:val="00AB6DE7"/>
    <w:rsid w:val="00B560CA"/>
    <w:rsid w:val="00B640F3"/>
    <w:rsid w:val="00C163BA"/>
    <w:rsid w:val="00E5413C"/>
    <w:rsid w:val="00EA438F"/>
    <w:rsid w:val="00EA6950"/>
    <w:rsid w:val="00FF03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3996">
      <w:bodyDiv w:val="1"/>
      <w:marLeft w:val="0"/>
      <w:marRight w:val="0"/>
      <w:marTop w:val="0"/>
      <w:marBottom w:val="0"/>
      <w:divBdr>
        <w:top w:val="none" w:sz="0" w:space="0" w:color="auto"/>
        <w:left w:val="none" w:sz="0" w:space="0" w:color="auto"/>
        <w:bottom w:val="none" w:sz="0" w:space="0" w:color="auto"/>
        <w:right w:val="none" w:sz="0" w:space="0" w:color="auto"/>
      </w:divBdr>
    </w:div>
    <w:div w:id="263464029">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410742626">
      <w:bodyDiv w:val="1"/>
      <w:marLeft w:val="0"/>
      <w:marRight w:val="0"/>
      <w:marTop w:val="0"/>
      <w:marBottom w:val="0"/>
      <w:divBdr>
        <w:top w:val="none" w:sz="0" w:space="0" w:color="auto"/>
        <w:left w:val="none" w:sz="0" w:space="0" w:color="auto"/>
        <w:bottom w:val="none" w:sz="0" w:space="0" w:color="auto"/>
        <w:right w:val="none" w:sz="0" w:space="0" w:color="auto"/>
      </w:divBdr>
    </w:div>
    <w:div w:id="460003231">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638805299">
      <w:bodyDiv w:val="1"/>
      <w:marLeft w:val="0"/>
      <w:marRight w:val="0"/>
      <w:marTop w:val="0"/>
      <w:marBottom w:val="0"/>
      <w:divBdr>
        <w:top w:val="none" w:sz="0" w:space="0" w:color="auto"/>
        <w:left w:val="none" w:sz="0" w:space="0" w:color="auto"/>
        <w:bottom w:val="none" w:sz="0" w:space="0" w:color="auto"/>
        <w:right w:val="none" w:sz="0" w:space="0" w:color="auto"/>
      </w:divBdr>
    </w:div>
    <w:div w:id="665329226">
      <w:bodyDiv w:val="1"/>
      <w:marLeft w:val="0"/>
      <w:marRight w:val="0"/>
      <w:marTop w:val="0"/>
      <w:marBottom w:val="0"/>
      <w:divBdr>
        <w:top w:val="none" w:sz="0" w:space="0" w:color="auto"/>
        <w:left w:val="none" w:sz="0" w:space="0" w:color="auto"/>
        <w:bottom w:val="none" w:sz="0" w:space="0" w:color="auto"/>
        <w:right w:val="none" w:sz="0" w:space="0" w:color="auto"/>
      </w:divBdr>
    </w:div>
    <w:div w:id="828402037">
      <w:bodyDiv w:val="1"/>
      <w:marLeft w:val="0"/>
      <w:marRight w:val="0"/>
      <w:marTop w:val="0"/>
      <w:marBottom w:val="0"/>
      <w:divBdr>
        <w:top w:val="none" w:sz="0" w:space="0" w:color="auto"/>
        <w:left w:val="none" w:sz="0" w:space="0" w:color="auto"/>
        <w:bottom w:val="none" w:sz="0" w:space="0" w:color="auto"/>
        <w:right w:val="none" w:sz="0" w:space="0" w:color="auto"/>
      </w:divBdr>
    </w:div>
    <w:div w:id="889000604">
      <w:bodyDiv w:val="1"/>
      <w:marLeft w:val="0"/>
      <w:marRight w:val="0"/>
      <w:marTop w:val="0"/>
      <w:marBottom w:val="0"/>
      <w:divBdr>
        <w:top w:val="none" w:sz="0" w:space="0" w:color="auto"/>
        <w:left w:val="none" w:sz="0" w:space="0" w:color="auto"/>
        <w:bottom w:val="none" w:sz="0" w:space="0" w:color="auto"/>
        <w:right w:val="none" w:sz="0" w:space="0" w:color="auto"/>
      </w:divBdr>
    </w:div>
    <w:div w:id="898177494">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28122583">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991568802">
      <w:bodyDiv w:val="1"/>
      <w:marLeft w:val="0"/>
      <w:marRight w:val="0"/>
      <w:marTop w:val="0"/>
      <w:marBottom w:val="0"/>
      <w:divBdr>
        <w:top w:val="none" w:sz="0" w:space="0" w:color="auto"/>
        <w:left w:val="none" w:sz="0" w:space="0" w:color="auto"/>
        <w:bottom w:val="none" w:sz="0" w:space="0" w:color="auto"/>
        <w:right w:val="none" w:sz="0" w:space="0" w:color="auto"/>
      </w:divBdr>
    </w:div>
    <w:div w:id="104695567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0059">
      <w:bodyDiv w:val="1"/>
      <w:marLeft w:val="0"/>
      <w:marRight w:val="0"/>
      <w:marTop w:val="0"/>
      <w:marBottom w:val="0"/>
      <w:divBdr>
        <w:top w:val="none" w:sz="0" w:space="0" w:color="auto"/>
        <w:left w:val="none" w:sz="0" w:space="0" w:color="auto"/>
        <w:bottom w:val="none" w:sz="0" w:space="0" w:color="auto"/>
        <w:right w:val="none" w:sz="0" w:space="0" w:color="auto"/>
      </w:divBdr>
    </w:div>
    <w:div w:id="1197160266">
      <w:bodyDiv w:val="1"/>
      <w:marLeft w:val="0"/>
      <w:marRight w:val="0"/>
      <w:marTop w:val="0"/>
      <w:marBottom w:val="0"/>
      <w:divBdr>
        <w:top w:val="none" w:sz="0" w:space="0" w:color="auto"/>
        <w:left w:val="none" w:sz="0" w:space="0" w:color="auto"/>
        <w:bottom w:val="none" w:sz="0" w:space="0" w:color="auto"/>
        <w:right w:val="none" w:sz="0" w:space="0" w:color="auto"/>
      </w:divBdr>
    </w:div>
    <w:div w:id="126865385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594320262">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795603">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890455618">
      <w:bodyDiv w:val="1"/>
      <w:marLeft w:val="0"/>
      <w:marRight w:val="0"/>
      <w:marTop w:val="0"/>
      <w:marBottom w:val="0"/>
      <w:divBdr>
        <w:top w:val="none" w:sz="0" w:space="0" w:color="auto"/>
        <w:left w:val="none" w:sz="0" w:space="0" w:color="auto"/>
        <w:bottom w:val="none" w:sz="0" w:space="0" w:color="auto"/>
        <w:right w:val="none" w:sz="0" w:space="0" w:color="auto"/>
      </w:divBdr>
    </w:div>
    <w:div w:id="1941718091">
      <w:bodyDiv w:val="1"/>
      <w:marLeft w:val="0"/>
      <w:marRight w:val="0"/>
      <w:marTop w:val="0"/>
      <w:marBottom w:val="0"/>
      <w:divBdr>
        <w:top w:val="none" w:sz="0" w:space="0" w:color="auto"/>
        <w:left w:val="none" w:sz="0" w:space="0" w:color="auto"/>
        <w:bottom w:val="none" w:sz="0" w:space="0" w:color="auto"/>
        <w:right w:val="none" w:sz="0" w:space="0" w:color="auto"/>
      </w:divBdr>
    </w:div>
    <w:div w:id="1952860742">
      <w:bodyDiv w:val="1"/>
      <w:marLeft w:val="0"/>
      <w:marRight w:val="0"/>
      <w:marTop w:val="0"/>
      <w:marBottom w:val="0"/>
      <w:divBdr>
        <w:top w:val="none" w:sz="0" w:space="0" w:color="auto"/>
        <w:left w:val="none" w:sz="0" w:space="0" w:color="auto"/>
        <w:bottom w:val="none" w:sz="0" w:space="0" w:color="auto"/>
        <w:right w:val="none" w:sz="0" w:space="0" w:color="auto"/>
      </w:divBdr>
    </w:div>
    <w:div w:id="2091150965">
      <w:bodyDiv w:val="1"/>
      <w:marLeft w:val="0"/>
      <w:marRight w:val="0"/>
      <w:marTop w:val="0"/>
      <w:marBottom w:val="0"/>
      <w:divBdr>
        <w:top w:val="none" w:sz="0" w:space="0" w:color="auto"/>
        <w:left w:val="none" w:sz="0" w:space="0" w:color="auto"/>
        <w:bottom w:val="none" w:sz="0" w:space="0" w:color="auto"/>
        <w:right w:val="none" w:sz="0" w:space="0" w:color="auto"/>
      </w:divBdr>
    </w:div>
    <w:div w:id="21225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1968</Words>
  <Characters>15946</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2016-08-02T11:34:00Z</dcterms:created>
  <dcterms:modified xsi:type="dcterms:W3CDTF">2016-08-02T11:34:00Z</dcterms:modified>
</cp:coreProperties>
</file>