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C5" w:rsidRPr="00715E3E" w:rsidRDefault="00715E3E">
      <w:pPr>
        <w:rPr>
          <w:sz w:val="32"/>
          <w:szCs w:val="32"/>
        </w:rPr>
      </w:pPr>
      <w:r w:rsidRPr="00715E3E">
        <w:rPr>
          <w:sz w:val="32"/>
          <w:szCs w:val="32"/>
        </w:rPr>
        <w:t>FY5 Ratkaisuja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  <w:i/>
          <w:iCs/>
        </w:rPr>
      </w:pPr>
      <w:r>
        <w:t>2.</w:t>
      </w:r>
      <w:r w:rsidRPr="00715E3E">
        <w:rPr>
          <w:i/>
          <w:iCs/>
        </w:rPr>
        <w:t xml:space="preserve"> </w:t>
      </w:r>
      <w:r>
        <w:rPr>
          <w:i/>
          <w:iCs/>
        </w:rPr>
        <w:t>Ratkaisu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a) Värähdysliike on jaksollista liikettä tasapainoaseman ympärillä. 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b) Värähtelyn jakso on lyhin samanlaisena toistuva liike.  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c) Värähdysliikkeen jaksonaika on aika, joka kuluu yhteen värähtelyn jaksoon. 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d) Värähtelyn taajuus ilmaisee, kuinka monta värähdystä tapahtuu sekunnissa. 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e) Värähtelyn amplitudi o värähtelijän suurin poikkeama tasapainoasemasta. (2 p.)</w:t>
      </w:r>
    </w:p>
    <w:p w:rsidR="00715E3E" w:rsidRDefault="00715E3E"/>
    <w:p w:rsidR="00715E3E" w:rsidRDefault="00715E3E" w:rsidP="00715E3E">
      <w:pPr>
        <w:pStyle w:val="Textbody"/>
        <w:spacing w:after="113" w:line="240" w:lineRule="auto"/>
        <w:rPr>
          <w:rFonts w:hint="eastAsia"/>
          <w:i/>
          <w:iCs/>
        </w:rPr>
      </w:pPr>
      <w:r>
        <w:t>3.</w:t>
      </w:r>
      <w:r w:rsidRPr="00715E3E">
        <w:rPr>
          <w:i/>
          <w:iCs/>
        </w:rPr>
        <w:t xml:space="preserve"> </w:t>
      </w:r>
      <w:r>
        <w:rPr>
          <w:i/>
          <w:iCs/>
        </w:rPr>
        <w:t>Ratkaisu</w:t>
      </w:r>
    </w:p>
    <w:p w:rsidR="00715E3E" w:rsidRDefault="00715E3E" w:rsidP="00715E3E">
      <w:pPr>
        <w:pStyle w:val="Textbody"/>
        <w:spacing w:after="113" w:line="240" w:lineRule="auto"/>
      </w:pPr>
      <w:r>
        <w:t xml:space="preserve">a) Punnukseen vaikuttavat voimat ovat punnuksen paino </w:t>
      </w:r>
      <w:r>
        <w:rPr>
          <w:i/>
          <w:iCs/>
        </w:rPr>
        <w:t>G</w:t>
      </w:r>
      <w:r>
        <w:t xml:space="preserve"> ja jousivoima </w:t>
      </w:r>
      <w:r>
        <w:rPr>
          <w:i/>
          <w:iCs/>
        </w:rPr>
        <w:t xml:space="preserve">F. </w:t>
      </w:r>
      <w:r>
        <w:t>(2 p.)</w:t>
      </w:r>
    </w:p>
    <w:p w:rsidR="00715E3E" w:rsidRPr="00715E3E" w:rsidRDefault="00715E3E" w:rsidP="00715E3E">
      <w:pPr>
        <w:pStyle w:val="Textbody"/>
        <w:spacing w:after="113" w:line="240" w:lineRule="auto"/>
        <w:rPr>
          <w:rFonts w:hint="eastAsia"/>
        </w:rPr>
      </w:pPr>
      <w:r w:rsidRPr="00715E3E">
        <w:rPr>
          <w:rFonts w:hint="eastAsia"/>
          <w:noProof/>
          <w:lang w:eastAsia="fi-FI" w:bidi="ar-SA"/>
        </w:rPr>
        <w:drawing>
          <wp:inline distT="0" distB="0" distL="0" distR="0">
            <wp:extent cx="1666875" cy="25241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  <w:i/>
          <w:iCs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b) Lasketaan taulukkoon jousivoima, joka tasapainotilanteessa on yhtä suuri kuin punnuksen paino.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anchor distT="0" distB="0" distL="114300" distR="114300" simplePos="0" relativeHeight="251660288" behindDoc="0" locked="0" layoutInCell="1" allowOverlap="1" wp14:anchorId="444FD100" wp14:editId="4511CFC1">
            <wp:simplePos x="0" y="0"/>
            <wp:positionH relativeFrom="column">
              <wp:posOffset>1015200</wp:posOffset>
            </wp:positionH>
            <wp:positionV relativeFrom="paragraph">
              <wp:posOffset>132120</wp:posOffset>
            </wp:positionV>
            <wp:extent cx="3086280" cy="1800360"/>
            <wp:effectExtent l="0" t="0" r="0" b="9390"/>
            <wp:wrapSquare wrapText="bothSides"/>
            <wp:docPr id="4" name="Kuv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280" cy="180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Piirretään kuvaaja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lastRenderedPageBreak/>
        <w:drawing>
          <wp:anchor distT="0" distB="0" distL="114300" distR="114300" simplePos="0" relativeHeight="251659264" behindDoc="0" locked="0" layoutInCell="1" allowOverlap="1" wp14:anchorId="575C0863" wp14:editId="00BA9FA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4248000"/>
            <wp:effectExtent l="0" t="0" r="0" b="150"/>
            <wp:wrapSquare wrapText="bothSides"/>
            <wp:docPr id="5" name="Kuv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(6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c) Jousivakio on mittauspisteisiin sovitetun suoran fysikaalinen kulmakerroin. (2 p.)</w:t>
      </w:r>
    </w:p>
    <w:p w:rsidR="00715E3E" w:rsidRDefault="00715E3E" w:rsidP="00715E3E">
      <w:pPr>
        <w:pStyle w:val="Textbody"/>
        <w:spacing w:after="113" w:line="240" w:lineRule="auto"/>
      </w:pPr>
      <m:oMath>
        <m:r>
          <w:rPr>
            <w:rFonts w:ascii="Cambria Math" w:hAnsi="Cambria Math"/>
          </w:rPr>
          <m:t>k=62</m:t>
        </m:r>
        <m:r>
          <m:rPr>
            <m:nor/>
          </m:rPr>
          <m:t>N/m</m:t>
        </m:r>
      </m:oMath>
      <w:r>
        <w:t>(1 p.)</w:t>
      </w:r>
    </w:p>
    <w:p w:rsidR="00715E3E" w:rsidRDefault="00715E3E" w:rsidP="00715E3E">
      <w:pPr>
        <w:pStyle w:val="Textbody"/>
        <w:spacing w:after="113" w:line="240" w:lineRule="auto"/>
      </w:pPr>
    </w:p>
    <w:p w:rsidR="00715E3E" w:rsidRPr="00715E3E" w:rsidRDefault="00715E3E" w:rsidP="00715E3E">
      <w:pPr>
        <w:pStyle w:val="Textbody"/>
        <w:spacing w:after="113" w:line="240" w:lineRule="auto"/>
        <w:rPr>
          <w:rFonts w:hint="eastAsia"/>
          <w:b/>
          <w:i/>
          <w:iCs/>
        </w:rPr>
      </w:pPr>
      <w:r w:rsidRPr="00715E3E">
        <w:rPr>
          <w:b/>
        </w:rPr>
        <w:t>4.</w:t>
      </w:r>
      <w:r w:rsidRPr="00715E3E">
        <w:rPr>
          <w:b/>
          <w:i/>
          <w:iCs/>
        </w:rPr>
        <w:t xml:space="preserve"> </w:t>
      </w:r>
      <w:r w:rsidRPr="00715E3E">
        <w:rPr>
          <w:b/>
          <w:i/>
          <w:iCs/>
        </w:rPr>
        <w:t>Ratkaisu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a) Koska satelliitti pysyy Maahan nähden paikallaan, sen kierrosaika on sama kuin Maan pyörähdysaika akselinsa ympäri.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T=23</m:t>
        </m:r>
        <m:r>
          <m:rPr>
            <m:nor/>
          </m:rPr>
          <m:t>h</m:t>
        </m:r>
        <m:r>
          <w:rPr>
            <w:rFonts w:ascii="Cambria Math" w:hAnsi="Cambria Math"/>
          </w:rPr>
          <m:t>56</m:t>
        </m:r>
        <m:r>
          <m:rPr>
            <m:nor/>
          </m:rPr>
          <m:t>min</m:t>
        </m:r>
        <m:r>
          <m:rPr>
            <m:sty m:val="p"/>
          </m:rPr>
          <w:rPr>
            <w:rFonts w:ascii="Cambria Math" w:hAnsi="Cambria Math"/>
          </w:rPr>
          <m:t>4,10</m:t>
        </m:r>
        <m:r>
          <m:rPr>
            <m:nor/>
          </m:rPr>
          <m:t>s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86164,10</m:t>
        </m:r>
        <m:r>
          <m:rPr>
            <m:nor/>
          </m:rPr>
          <m:t>s</m:t>
        </m:r>
        <m:r>
          <w:rPr>
            <w:rFonts w:ascii="Cambria Math" w:hAnsi="Cambria Math"/>
          </w:rPr>
          <m:t>≈86164</m:t>
        </m:r>
        <m:r>
          <m:rPr>
            <m:nor/>
          </m:rPr>
          <m:t>s</m:t>
        </m:r>
      </m:oMath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anchor distT="0" distB="0" distL="114300" distR="114300" simplePos="0" relativeHeight="251662336" behindDoc="0" locked="0" layoutInCell="1" allowOverlap="1" wp14:anchorId="15CE4718" wp14:editId="258A1F70">
            <wp:simplePos x="0" y="0"/>
            <wp:positionH relativeFrom="column">
              <wp:posOffset>122040</wp:posOffset>
            </wp:positionH>
            <wp:positionV relativeFrom="paragraph">
              <wp:posOffset>200160</wp:posOffset>
            </wp:positionV>
            <wp:extent cx="2257560" cy="1990800"/>
            <wp:effectExtent l="0" t="0" r="9390" b="9450"/>
            <wp:wrapSquare wrapText="bothSides"/>
            <wp:docPr id="9" name="Kuv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560" cy="19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b) Satelliittiin vaikuttaa gravitaatiovoima </w:t>
      </w:r>
      <w:r>
        <w:rPr>
          <w:i/>
          <w:iCs/>
        </w:rPr>
        <w:t xml:space="preserve">F </w:t>
      </w:r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c) Satelliitin nopeus on ympyräradan tangentin suuntainen. Kiihtyvyys on normaalikiihtyvyyttä, jonka suunta on kohti ympyräradan keskipistettä.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lastRenderedPageBreak/>
        <w:drawing>
          <wp:anchor distT="0" distB="0" distL="114300" distR="114300" simplePos="0" relativeHeight="251663360" behindDoc="0" locked="0" layoutInCell="1" allowOverlap="1" wp14:anchorId="3EE4DC9C" wp14:editId="6CF02D1A">
            <wp:simplePos x="0" y="0"/>
            <wp:positionH relativeFrom="column">
              <wp:posOffset>173880</wp:posOffset>
            </wp:positionH>
            <wp:positionV relativeFrom="paragraph">
              <wp:posOffset>-86400</wp:posOffset>
            </wp:positionV>
            <wp:extent cx="2419200" cy="2448000"/>
            <wp:effectExtent l="0" t="0" r="150" b="9450"/>
            <wp:wrapSquare wrapText="bothSides"/>
            <wp:docPr id="10" name="Kuva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d) Newtonin II lain (dynamiikan peruslaki) mukaan satelliittiin vaikuttava gravitaatiovoima aiheuttaa ympyräradan keskipisteeseen suuntautuvan normaalikiihtyvyyden. 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Satelliitin liikeyhtälö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F=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Gravitaatiovoima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F=</m:t>
        </m:r>
        <m:r>
          <m:rPr>
            <m:sty m:val="p"/>
          </m:rPr>
          <w:rPr>
            <w:rFonts w:ascii="Cambria Math" w:hAnsi="Cambria Math"/>
          </w:rPr>
          <m:t>γ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Normaalikiihtyvyys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Satelliitin liike on tasaista ympyräliikettä, jolloin ratanopeus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Sijoittamalla gravitaatiovoima, normaalikiihtyvyys ja ratanopeus saadaan liikeyhtälöstä ratkaistua satelliitin radan säde. *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r=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γ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  <w:r>
        <w:t>(2 p.)  (</w:t>
      </w:r>
      <w:proofErr w:type="spellStart"/>
      <w:r>
        <w:rPr>
          <w:i/>
          <w:iCs/>
        </w:rPr>
        <w:t>LibreOfficen</w:t>
      </w:r>
      <w:proofErr w:type="spellEnd"/>
      <w:r>
        <w:rPr>
          <w:i/>
          <w:iCs/>
        </w:rPr>
        <w:t xml:space="preserve"> kaavaeditorissa on ongelma juurimerkinnässä.</w:t>
      </w:r>
      <w:r>
        <w:t>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 xml:space="preserve">Sijoitetaan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6,67428</m:t>
        </m:r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-11</m:t>
            </m:r>
          </m:sup>
        </m:sSup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Nm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kg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, </w:t>
      </w:r>
      <m:oMath>
        <m:r>
          <w:rPr>
            <w:rFonts w:ascii="Cambria Math" w:hAnsi="Cambria Math"/>
          </w:rPr>
          <m:t>M=</m:t>
        </m:r>
        <m:r>
          <m:rPr>
            <m:sty m:val="p"/>
          </m:rPr>
          <w:rPr>
            <w:rFonts w:ascii="Cambria Math" w:hAnsi="Cambria Math"/>
          </w:rPr>
          <m:t>5,974</m:t>
        </m:r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24</m:t>
            </m:r>
          </m:sup>
        </m:sSup>
        <m:r>
          <m:rPr>
            <m:nor/>
          </m:rPr>
          <m:t>kg</m:t>
        </m:r>
      </m:oMath>
      <w:r>
        <w:t xml:space="preserve">, </w:t>
      </w:r>
      <m:oMath>
        <m:r>
          <w:rPr>
            <w:rFonts w:ascii="Cambria Math" w:hAnsi="Cambria Math"/>
          </w:rPr>
          <m:t>T=</m:t>
        </m:r>
        <m:r>
          <m:rPr>
            <m:sty m:val="p"/>
          </m:rPr>
          <w:rPr>
            <w:rFonts w:ascii="Cambria Math" w:hAnsi="Cambria Math"/>
          </w:rPr>
          <m:t>86164,1</m:t>
        </m:r>
        <m:r>
          <m:rPr>
            <m:nor/>
          </m:rPr>
          <m:t>s</m:t>
        </m:r>
      </m:oMath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Satelliitin radan säde on</w:t>
      </w:r>
    </w:p>
    <w:p w:rsidR="00715E3E" w:rsidRDefault="00715E3E" w:rsidP="00715E3E">
      <w:pPr>
        <w:pStyle w:val="Textbody"/>
        <w:spacing w:after="113" w:line="240" w:lineRule="auto"/>
      </w:pPr>
      <m:oMath>
        <m:r>
          <w:rPr>
            <w:rFonts w:ascii="Cambria Math" w:hAnsi="Cambria Math"/>
          </w:rPr>
          <m:t>r=</m:t>
        </m:r>
        <m:r>
          <m:rPr>
            <m:sty m:val="p"/>
          </m:rPr>
          <w:rPr>
            <w:rFonts w:ascii="Cambria Math" w:hAnsi="Cambria Math"/>
          </w:rPr>
          <m:t>42168440,3742</m:t>
        </m:r>
        <m:r>
          <m:rPr>
            <m:nor/>
          </m:rPr>
          <m:t>m</m:t>
        </m:r>
        <m:r>
          <w:rPr>
            <w:rFonts w:ascii="Cambria Math" w:hAnsi="Cambria Math"/>
          </w:rPr>
          <m:t>≈42170</m:t>
        </m:r>
        <m:r>
          <m:rPr>
            <m:nor/>
          </m:rPr>
          <m:t>km</m:t>
        </m:r>
      </m:oMath>
      <w:r>
        <w:t>(1 p.)</w:t>
      </w:r>
    </w:p>
    <w:p w:rsidR="00715E3E" w:rsidRDefault="00715E3E" w:rsidP="00715E3E">
      <w:pPr>
        <w:pStyle w:val="Textbody"/>
        <w:spacing w:after="113" w:line="240" w:lineRule="auto"/>
      </w:pPr>
    </w:p>
    <w:p w:rsidR="00715E3E" w:rsidRPr="001C43A1" w:rsidRDefault="00715E3E" w:rsidP="00715E3E">
      <w:pPr>
        <w:pStyle w:val="Textbody"/>
        <w:spacing w:after="113" w:line="240" w:lineRule="auto"/>
        <w:rPr>
          <w:rFonts w:hint="eastAsia"/>
          <w:b/>
          <w:i/>
          <w:iCs/>
        </w:rPr>
      </w:pPr>
      <w:r w:rsidRPr="001C43A1">
        <w:rPr>
          <w:b/>
        </w:rPr>
        <w:t xml:space="preserve">5. </w:t>
      </w:r>
      <w:r w:rsidRPr="001C43A1">
        <w:rPr>
          <w:b/>
          <w:i/>
          <w:iCs/>
        </w:rPr>
        <w:t>Ratkaisu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a) Mittauksessa havaitaan huojunta. (2 p.) Huojunta syntyy, kun kaksi taajuudeltaan lähellä toisiaan olevaa ääniaaltoa interferoi. 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b) Lisäpainolla muutetaan ääniraudan värähtelytaajuutta, jolloin äänirautojen taajuudet poikkeavat hieman toisistaan.  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c) Huojunnan taajuus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f=|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|</m:t>
        </m:r>
      </m:oMath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=440</m:t>
        </m:r>
        <m:r>
          <m:rPr>
            <m:nor/>
          </m:rPr>
          <m:t>Hz</m:t>
        </m:r>
      </m:oMath>
      <w:r>
        <w:t>(1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Kuvaajasta luettuna kolmeen jaksoon kuluva aika on 0,2077 s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Jaksonaika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0,2077</m:t>
            </m:r>
            <m:r>
              <m:rPr>
                <m:nor/>
              </m:rPr>
              <m:t>s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0,0692333</m:t>
        </m:r>
        <m:r>
          <m:rPr>
            <m:nor/>
          </m:rPr>
          <m:t>s</m:t>
        </m:r>
      </m:oMath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lastRenderedPageBreak/>
        <w:t>Huojunnan taajuus on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0,0692333</m:t>
            </m:r>
          </m:den>
        </m:f>
        <m:r>
          <m:rPr>
            <m:nor/>
          </m:rPr>
          <m:t>s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14,4449</m:t>
        </m:r>
        <m:r>
          <m:rPr>
            <m:nor/>
          </m:rPr>
          <m:t>Hz</m:t>
        </m:r>
      </m:oMath>
      <w:r>
        <w:t>(2 p.)</w:t>
      </w:r>
    </w:p>
    <w:p w:rsidR="00715E3E" w:rsidRDefault="00715E3E" w:rsidP="00715E3E">
      <w:pPr>
        <w:pStyle w:val="Textbody"/>
        <w:spacing w:after="113" w:line="240" w:lineRule="auto"/>
        <w:rPr>
          <w:rFonts w:hint="eastAsia"/>
        </w:rPr>
      </w:pPr>
      <w:r>
        <w:t>Lisäpaino hidastaa ääniraudan värähtelyä, joten lisäpainollisen ääniraudan värähtelyta</w:t>
      </w:r>
      <w:r w:rsidR="001C43A1">
        <w:t>a</w:t>
      </w:r>
      <w:r>
        <w:t>juus on</w:t>
      </w:r>
    </w:p>
    <w:p w:rsidR="00715E3E" w:rsidRDefault="00715E3E" w:rsidP="00715E3E">
      <w:pPr>
        <w:pStyle w:val="Textbody"/>
        <w:spacing w:after="113"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-f=440</m:t>
        </m:r>
        <m:r>
          <m:rPr>
            <m:nor/>
          </m:rPr>
          <m:t>Hz</m:t>
        </m: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14,4449</m:t>
        </m:r>
        <m:r>
          <m:rPr>
            <m:nor/>
          </m:rPr>
          <m:t>Hz</m:t>
        </m:r>
        <m:r>
          <w:rPr>
            <w:rFonts w:ascii="Cambria Math" w:hAnsi="Cambria Math"/>
          </w:rPr>
          <m:t>≈426</m:t>
        </m:r>
        <m:r>
          <m:rPr>
            <m:nor/>
          </m:rPr>
          <m:t>Hz</m:t>
        </m:r>
      </m:oMath>
      <w:r>
        <w:t>(2 p.)</w:t>
      </w:r>
    </w:p>
    <w:p w:rsidR="001C43A1" w:rsidRDefault="001C43A1" w:rsidP="00715E3E">
      <w:pPr>
        <w:pStyle w:val="Textbody"/>
        <w:spacing w:after="113" w:line="240" w:lineRule="auto"/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 xml:space="preserve">6. </w:t>
      </w:r>
      <w:r>
        <w:t xml:space="preserve">a) Aloitetaan mittaus tilanteesta, jossa putki on täynnä vettä. Valitaan ääniraudan taajuudeksi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=440</m:t>
        </m:r>
        <m:r>
          <m:rPr>
            <m:nor/>
          </m:rPr>
          <m:t>Hz</m:t>
        </m:r>
      </m:oMath>
      <w:r>
        <w:t>. Lasketaan veden pintaa, kunnes putken suulla näkyy seisovan aallon kupukohta. (2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anchor distT="0" distB="0" distL="114300" distR="114300" simplePos="0" relativeHeight="251665408" behindDoc="0" locked="0" layoutInCell="1" allowOverlap="1" wp14:anchorId="4D5C09EF" wp14:editId="5EF60697">
            <wp:simplePos x="0" y="0"/>
            <wp:positionH relativeFrom="column">
              <wp:posOffset>1628775</wp:posOffset>
            </wp:positionH>
            <wp:positionV relativeFrom="paragraph">
              <wp:posOffset>2540</wp:posOffset>
            </wp:positionV>
            <wp:extent cx="2295525" cy="2857500"/>
            <wp:effectExtent l="0" t="0" r="9525" b="0"/>
            <wp:wrapSquare wrapText="bothSides"/>
            <wp:docPr id="31" name="Kuva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(1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 xml:space="preserve">Tällöin putkessa olevan ilmapatsaan korkeus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=19</m:t>
        </m:r>
        <m:r>
          <m:rPr>
            <m:nor/>
          </m:rPr>
          <m:t>cm</m:t>
        </m:r>
      </m:oMath>
      <w:r>
        <w:t>.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 xml:space="preserve">Äänen aallonpituus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=4⋅19</m:t>
        </m:r>
        <m:r>
          <m:rPr>
            <m:nor/>
          </m:rPr>
          <m:t>cm</m:t>
        </m:r>
        <m:r>
          <w:rPr>
            <w:rFonts w:ascii="Cambria Math" w:hAnsi="Cambria Math"/>
          </w:rPr>
          <m:t>=76</m:t>
        </m:r>
        <m:r>
          <m:rPr>
            <m:nor/>
          </m:rPr>
          <m:t>cm</m:t>
        </m:r>
      </m:oMath>
      <w:r>
        <w:t>. (1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Aaltoliikkeen perusyhtälöstä saadaan äänen nopeudeksi ilmassa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=440</m:t>
        </m:r>
        <m:r>
          <m:rPr>
            <m:nor/>
          </m:rPr>
          <m:t>Hz</m:t>
        </m:r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0,76</m:t>
        </m:r>
        <m:r>
          <m:rPr>
            <m:nor/>
          </m:rPr>
          <m:t>m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334,4</m:t>
        </m:r>
        <m:r>
          <m:rPr>
            <m:nor/>
          </m:rPr>
          <m:t>m/s</m:t>
        </m:r>
      </m:oMath>
      <w:r>
        <w:t>. (2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Mitataan seuraava ilmapatsaan korkeus, jolla putken suulla on seisovan aallon kupukohta. (1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inline distT="0" distB="0" distL="0" distR="0">
            <wp:extent cx="2209800" cy="3019425"/>
            <wp:effectExtent l="0" t="0" r="0" b="9525"/>
            <wp:docPr id="32" name="Kuva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(1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 xml:space="preserve">Tällöin putkessa olevan ilmapatsaan korkeus on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=57</m:t>
        </m:r>
        <m:r>
          <m:rPr>
            <m:nor/>
          </m:rPr>
          <m:t>cm</m:t>
        </m:r>
      </m:oMath>
      <w:r>
        <w:t>.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 xml:space="preserve">Äänen aallonpituus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=76</m:t>
        </m:r>
        <m:r>
          <m:rPr>
            <m:nor/>
          </m:rPr>
          <m:t>cm</m:t>
        </m:r>
      </m:oMath>
      <w:r>
        <w:t>. (1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Aaltoliikkeen perusyhtälöstä saadaan äänen nopeudeksi ilmassa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=440</m:t>
        </m:r>
        <m:r>
          <m:rPr>
            <m:nor/>
          </m:rPr>
          <m:t>Hz</m:t>
        </m:r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0,76</m:t>
        </m:r>
        <m:r>
          <m:rPr>
            <m:nor/>
          </m:rPr>
          <m:t>m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334,4</m:t>
        </m:r>
        <m:r>
          <m:rPr>
            <m:nor/>
          </m:rPr>
          <m:t>m/s</m:t>
        </m:r>
      </m:oMath>
      <w:r>
        <w:t>. (1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Vedenpintaa laskemalla ei taajuudella 440 Hz saada enää tilannetta, jossa putken suulla olisi seisovan aallon kupukohta.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 xml:space="preserve">Tehdään mittaus vastaavalla tavalla taajuuksilla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=512</m:t>
        </m:r>
        <m:r>
          <m:rPr>
            <m:nor/>
          </m:rPr>
          <m:t>Hz</m:t>
        </m:r>
      </m:oMath>
      <w:r>
        <w:t xml:space="preserve">ja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=660</m:t>
        </m:r>
        <m:r>
          <m:rPr>
            <m:nor/>
          </m:rPr>
          <m:t>Hz</m:t>
        </m:r>
      </m:oMath>
      <w:r>
        <w:t>. (2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anchor distT="0" distB="0" distL="114300" distR="114300" simplePos="0" relativeHeight="251667456" behindDoc="0" locked="0" layoutInCell="1" allowOverlap="1" wp14:anchorId="468D97F8" wp14:editId="410BCD6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610240" cy="1628639"/>
            <wp:effectExtent l="0" t="0" r="9510" b="0"/>
            <wp:wrapSquare wrapText="bothSides"/>
            <wp:docPr id="33" name="Kuva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40" cy="162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Lasketaan äänen nopeuksien keskiarvo. (2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anchor distT="0" distB="0" distL="114300" distR="114300" simplePos="0" relativeHeight="251668480" behindDoc="0" locked="0" layoutInCell="1" allowOverlap="1" wp14:anchorId="7CD3A6C1" wp14:editId="5EB13F1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62680" cy="2838600"/>
            <wp:effectExtent l="0" t="0" r="0" b="0"/>
            <wp:wrapSquare wrapText="bothSides"/>
            <wp:docPr id="34" name="Kuva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80" cy="28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  <w:r>
        <w:t>Simulaatiolla määritetty äänen nopeus ilmassa on 340 m/s. (2 p.)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1C43A1">
      <w:pPr>
        <w:pStyle w:val="Textbody"/>
        <w:spacing w:after="113" w:line="240" w:lineRule="auto"/>
      </w:pPr>
      <w:r>
        <w:t xml:space="preserve">b) Simulaatiomittauksessa etsitään ilmapatsaan korkeus, jolla putken suulla näkyy seisovan aallon mallin kupukohta. Todellisessa mittauksessa ilmapatsaan korkeutta muutettaessa etsitään kohta, jossa ääniraudan ääni voimistuu. Putken suulla on tällöin ilman värähtelyn </w:t>
      </w:r>
      <w:proofErr w:type="gramStart"/>
      <w:r>
        <w:t>kupukohta.(</w:t>
      </w:r>
      <w:proofErr w:type="gramEnd"/>
      <w:r>
        <w:t>4 p.)</w:t>
      </w:r>
    </w:p>
    <w:p w:rsidR="001C43A1" w:rsidRDefault="001C43A1" w:rsidP="001C43A1">
      <w:pPr>
        <w:pStyle w:val="Textbody"/>
        <w:spacing w:after="113" w:line="240" w:lineRule="auto"/>
      </w:pPr>
    </w:p>
    <w:p w:rsidR="00EB5FEB" w:rsidRDefault="001C43A1" w:rsidP="00EB5FEB">
      <w:pPr>
        <w:pStyle w:val="Textbody"/>
        <w:spacing w:after="113" w:line="240" w:lineRule="auto"/>
        <w:rPr>
          <w:rFonts w:hint="eastAsia"/>
          <w:i/>
          <w:iCs/>
        </w:rPr>
      </w:pPr>
      <w:r>
        <w:t xml:space="preserve">7. </w:t>
      </w:r>
      <w:r w:rsidR="00EB5FEB">
        <w:rPr>
          <w:i/>
          <w:iCs/>
        </w:rPr>
        <w:t>Ratkaisu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t xml:space="preserve">a) Tarkastellaan kappaletta, joka on korkeudella </w:t>
      </w:r>
      <w:r>
        <w:rPr>
          <w:i/>
          <w:iCs/>
        </w:rPr>
        <w:t>h</w:t>
      </w:r>
      <w:r>
        <w:t xml:space="preserve"> Maan pinnasta.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lastRenderedPageBreak/>
        <w:drawing>
          <wp:anchor distT="0" distB="0" distL="114300" distR="114300" simplePos="0" relativeHeight="251670528" behindDoc="0" locked="0" layoutInCell="1" allowOverlap="1" wp14:anchorId="07E4DE57" wp14:editId="72327343">
            <wp:simplePos x="0" y="0"/>
            <wp:positionH relativeFrom="column">
              <wp:posOffset>427320</wp:posOffset>
            </wp:positionH>
            <wp:positionV relativeFrom="paragraph">
              <wp:posOffset>124560</wp:posOffset>
            </wp:positionV>
            <wp:extent cx="2993400" cy="2650319"/>
            <wp:effectExtent l="0" t="0" r="0" b="0"/>
            <wp:wrapSquare wrapText="bothSides"/>
            <wp:docPr id="35" name="Kuva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3400" cy="265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t>(2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t>Kappaleeseen vaikuttaa gravitaatiovoima, joka aiheuttaa putoamiskiihtyvyyden. (2 p.) Newtonin II lain mukaan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F=m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</m:oMath>
      </m:oMathPara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γ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t>(2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γ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γ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(R+h)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(2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t xml:space="preserve">b)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γ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(R+h)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t xml:space="preserve">Sijoitetaan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6,67428</m:t>
        </m:r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Nm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kg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, </w:t>
      </w:r>
      <m:oMath>
        <m:r>
          <w:rPr>
            <w:rFonts w:ascii="Cambria Math" w:hAnsi="Cambria Math"/>
          </w:rPr>
          <m:t>M=</m:t>
        </m:r>
        <m:r>
          <m:rPr>
            <m:sty m:val="p"/>
          </m:rPr>
          <w:rPr>
            <w:rFonts w:ascii="Cambria Math" w:hAnsi="Cambria Math"/>
          </w:rPr>
          <m:t>5,974</m:t>
        </m:r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24</m:t>
            </m:r>
          </m:sup>
        </m:sSup>
        <m:r>
          <m:rPr>
            <m:nor/>
          </m:rPr>
          <m:t>kg</m:t>
        </m:r>
      </m:oMath>
      <w:r>
        <w:t xml:space="preserve">ja </w:t>
      </w:r>
      <m:oMath>
        <m:r>
          <w:rPr>
            <w:rFonts w:ascii="Cambria Math" w:hAnsi="Cambria Math"/>
          </w:rPr>
          <m:t>R=6378140</m:t>
        </m:r>
        <m:r>
          <m:rPr>
            <m:nor/>
          </m:rPr>
          <m:t>m</m:t>
        </m:r>
      </m:oMath>
      <w:r>
        <w:t>( 2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t>Saadaan funktio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m:oMath>
        <m:r>
          <w:rPr>
            <w:rFonts w:ascii="Cambria Math" w:hAnsi="Cambria Math"/>
          </w:rPr>
          <m:t>g(h)=</m:t>
        </m:r>
        <m:r>
          <m:rPr>
            <m:sty m:val="p"/>
          </m:rPr>
          <w:rPr>
            <w:rFonts w:ascii="Cambria Math" w:hAnsi="Cambria Math"/>
          </w:rPr>
          <m:t>6,67428</m:t>
        </m:r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Nm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kg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5,974</m:t>
            </m:r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24</m:t>
                </m:r>
              </m:sup>
            </m:sSup>
            <m:r>
              <m:rPr>
                <m:nor/>
              </m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(6378140</m:t>
                </m:r>
                <m:r>
                  <m:rPr>
                    <m:nor/>
                  </m:rPr>
                  <m:t>m</m:t>
                </m:r>
                <m:r>
                  <w:rPr>
                    <w:rFonts w:ascii="Cambria Math" w:hAnsi="Cambria Math"/>
                  </w:rPr>
                  <m:t>+h)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, kun </w:t>
      </w:r>
      <m:oMath>
        <m:r>
          <w:rPr>
            <w:rFonts w:ascii="Cambria Math" w:hAnsi="Cambria Math"/>
          </w:rPr>
          <m:t>0</m:t>
        </m:r>
        <m:r>
          <m:rPr>
            <m:nor/>
          </m:rPr>
          <m:t>m</m:t>
        </m:r>
        <m:r>
          <w:rPr>
            <w:rFonts w:ascii="Cambria Math" w:hAnsi="Cambria Math"/>
          </w:rPr>
          <m:t>≤h≤</m:t>
        </m:r>
        <m:r>
          <w:rPr>
            <w:rFonts w:ascii="Cambria Math" w:hAnsi="Cambria Math"/>
          </w:rPr>
          <m:t>100000</m:t>
        </m:r>
        <m:r>
          <m:rPr>
            <m:nor/>
          </m:rPr>
          <m:t>m</m:t>
        </m:r>
      </m:oMath>
      <w:r>
        <w:t>(2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r>
        <w:rPr>
          <w:noProof/>
          <w:lang w:eastAsia="fi-FI" w:bidi="ar-SA"/>
        </w:rPr>
        <w:drawing>
          <wp:inline distT="0" distB="0" distL="0" distR="0">
            <wp:extent cx="4048125" cy="2609850"/>
            <wp:effectExtent l="0" t="0" r="9525" b="0"/>
            <wp:docPr id="36" name="Kuva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(4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EB5FEB" w:rsidRPr="00EB5FEB" w:rsidRDefault="00EB5FEB" w:rsidP="00EB5FEB">
      <w:pPr>
        <w:pStyle w:val="Textbody"/>
        <w:spacing w:after="113" w:line="240" w:lineRule="auto"/>
        <w:rPr>
          <w:rFonts w:hint="eastAsia"/>
          <w:color w:val="FF0000"/>
        </w:rPr>
      </w:pPr>
      <w:r>
        <w:lastRenderedPageBreak/>
        <w:t xml:space="preserve">c) Korkeudella 0 m putoamiskiihtyvyys on </w:t>
      </w:r>
      <m:oMath>
        <m:r>
          <m:rPr>
            <m:sty m:val="p"/>
          </m:rPr>
          <w:rPr>
            <w:rFonts w:ascii="Cambria Math" w:hAnsi="Cambria Math"/>
          </w:rPr>
          <m:t>9,801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m/s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ja korkeudella 100 km putoamiskiihtyvyys on </w:t>
      </w:r>
      <m:oMath>
        <m:r>
          <m:rPr>
            <m:sty m:val="p"/>
          </m:rPr>
          <w:rPr>
            <w:rFonts w:ascii="Cambria Math" w:hAnsi="Cambria Math"/>
          </w:rPr>
          <m:t>9,500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m/s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  <w:r>
        <w:t xml:space="preserve"> </w:t>
      </w:r>
      <w:r w:rsidRPr="00EB5FEB">
        <w:rPr>
          <w:color w:val="FF0000"/>
        </w:rPr>
        <w:t>Kuvaajassa vain 2 pistettä, jolloin saa kuvaajasta lineaarisen vaikutuksen, MIKÄ EI OLE TOTTA!</w:t>
      </w:r>
      <w:r w:rsidR="002C452C">
        <w:rPr>
          <w:color w:val="FF0000"/>
        </w:rPr>
        <w:t xml:space="preserve"> Katso oppikirja s.</w:t>
      </w:r>
      <w:r w:rsidR="00C722DF">
        <w:rPr>
          <w:color w:val="FF0000"/>
        </w:rPr>
        <w:t>31.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bookmarkStart w:id="0" w:name="_GoBack"/>
      <w:r>
        <w:rPr>
          <w:noProof/>
          <w:lang w:eastAsia="fi-FI" w:bidi="ar-SA"/>
        </w:rPr>
        <w:drawing>
          <wp:anchor distT="0" distB="0" distL="114300" distR="114300" simplePos="0" relativeHeight="251671552" behindDoc="0" locked="0" layoutInCell="1" allowOverlap="1" wp14:anchorId="5D49FE8C" wp14:editId="7AB73153">
            <wp:simplePos x="0" y="0"/>
            <wp:positionH relativeFrom="column">
              <wp:posOffset>571500</wp:posOffset>
            </wp:positionH>
            <wp:positionV relativeFrom="paragraph">
              <wp:posOffset>-635</wp:posOffset>
            </wp:positionV>
            <wp:extent cx="4848225" cy="2705100"/>
            <wp:effectExtent l="0" t="0" r="9525" b="0"/>
            <wp:wrapSquare wrapText="bothSides"/>
            <wp:docPr id="37" name="Kuva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  <w:proofErr w:type="gramStart"/>
      <w:r>
        <w:t>( 4</w:t>
      </w:r>
      <w:proofErr w:type="gramEnd"/>
      <w:r>
        <w:t xml:space="preserve"> p.)</w:t>
      </w:r>
    </w:p>
    <w:p w:rsidR="00EB5FEB" w:rsidRDefault="00EB5FEB" w:rsidP="00EB5FEB">
      <w:pPr>
        <w:pStyle w:val="Textbody"/>
        <w:spacing w:after="113" w:line="240" w:lineRule="auto"/>
        <w:rPr>
          <w:rFonts w:hint="eastAsia"/>
        </w:rPr>
      </w:pPr>
    </w:p>
    <w:p w:rsidR="001C43A1" w:rsidRDefault="00EB5FEB" w:rsidP="00EB5FEB">
      <w:pPr>
        <w:pStyle w:val="Standard"/>
        <w:spacing w:after="113"/>
        <w:rPr>
          <w:rFonts w:hint="eastAsia"/>
        </w:rPr>
      </w:pPr>
      <w:r>
        <w:t>13.</w:t>
      </w:r>
    </w:p>
    <w:p w:rsidR="001C43A1" w:rsidRDefault="001C43A1" w:rsidP="001C43A1">
      <w:pPr>
        <w:pStyle w:val="Textbody"/>
        <w:spacing w:after="113" w:line="240" w:lineRule="auto"/>
        <w:rPr>
          <w:rFonts w:hint="eastAsia"/>
        </w:rPr>
      </w:pPr>
    </w:p>
    <w:p w:rsidR="001C43A1" w:rsidRDefault="001C43A1" w:rsidP="00715E3E">
      <w:pPr>
        <w:pStyle w:val="Textbody"/>
        <w:spacing w:after="113" w:line="240" w:lineRule="auto"/>
        <w:rPr>
          <w:rFonts w:hint="eastAsia"/>
        </w:rPr>
      </w:pPr>
    </w:p>
    <w:p w:rsidR="00715E3E" w:rsidRDefault="00715E3E" w:rsidP="00715E3E">
      <w:pPr>
        <w:pStyle w:val="Textbody"/>
        <w:spacing w:after="113" w:line="240" w:lineRule="auto"/>
      </w:pPr>
    </w:p>
    <w:sectPr w:rsidR="00715E3E" w:rsidSect="00715E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3E"/>
    <w:rsid w:val="001C43A1"/>
    <w:rsid w:val="002C452C"/>
    <w:rsid w:val="003C59C5"/>
    <w:rsid w:val="00715E3E"/>
    <w:rsid w:val="00C722DF"/>
    <w:rsid w:val="00E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95DD"/>
  <w15:chartTrackingRefBased/>
  <w15:docId w15:val="{22191599-9AF5-4CC8-9F9C-8B2CC872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body">
    <w:name w:val="Text body"/>
    <w:basedOn w:val="Normaali"/>
    <w:rsid w:val="00715E3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B5FE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521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3</cp:revision>
  <dcterms:created xsi:type="dcterms:W3CDTF">2019-03-06T19:34:00Z</dcterms:created>
  <dcterms:modified xsi:type="dcterms:W3CDTF">2019-03-06T19:55:00Z</dcterms:modified>
</cp:coreProperties>
</file>