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60127868"/>
        <w:docPartObj>
          <w:docPartGallery w:val="Cover Pages"/>
          <w:docPartUnique/>
        </w:docPartObj>
      </w:sdtPr>
      <w:sdtEndPr>
        <w:rPr>
          <w:rFonts w:ascii="Arial" w:eastAsia="Verdana" w:hAnsi="Arial" w:cs="Arial"/>
          <w:b/>
          <w:bCs/>
          <w:sz w:val="26"/>
          <w:szCs w:val="26"/>
        </w:rPr>
      </w:sdtEndPr>
      <w:sdtContent>
        <w:p w:rsidR="00B23DD2" w:rsidRDefault="00B23DD2"/>
        <w:p w:rsidR="00B23DD2" w:rsidRDefault="00B23DD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3B8B0F67" wp14:editId="60DAC33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Suorakulmi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B23DD2" w:rsidRDefault="00B23DD2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3B8B0F67" id="Suorakulmio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" o:allowincell="f" stroked="f">
                    <v:textbox>
                      <w:txbxContent>
                        <w:p w:rsidR="00B23DD2" w:rsidRDefault="00B23DD2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23DD2" w:rsidRDefault="00B23DD2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910"/>
          </w:tblGrid>
          <w:tr w:rsidR="00B23DD2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Otsikko"/>
                  <w:id w:val="13783212"/>
                  <w:placeholder>
                    <w:docPart w:val="7D951F5B872C44C69AB54F71CF26D71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23DD2" w:rsidRDefault="00B23DD2">
                    <w:pPr>
                      <w:pStyle w:val="Eivli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Laatukriteerit</w:t>
                    </w:r>
                  </w:p>
                </w:sdtContent>
              </w:sdt>
              <w:p w:rsidR="00B23DD2" w:rsidRDefault="00B23DD2">
                <w:pPr>
                  <w:pStyle w:val="Eivli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Alaotsikko"/>
                  <w:id w:val="13783219"/>
                  <w:placeholder>
                    <w:docPart w:val="AE07CA875B584DCEA6C78260A2C51799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B23DD2" w:rsidRDefault="00B23DD2">
                    <w:pPr>
                      <w:pStyle w:val="Eivli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Erkko-lukio</w:t>
                    </w:r>
                  </w:p>
                </w:sdtContent>
              </w:sdt>
              <w:p w:rsidR="00B23DD2" w:rsidRDefault="00B23DD2">
                <w:pPr>
                  <w:pStyle w:val="Eivli"/>
                  <w:jc w:val="center"/>
                </w:pPr>
              </w:p>
              <w:sdt>
                <w:sdtPr>
                  <w:alias w:val="Päivämäärä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13-01-29T00:00:00Z"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p w:rsidR="00B23DD2" w:rsidRDefault="0077070C">
                    <w:pPr>
                      <w:pStyle w:val="Eivli"/>
                      <w:jc w:val="center"/>
                    </w:pPr>
                    <w:r>
                      <w:t>29.1.2013</w:t>
                    </w:r>
                  </w:p>
                </w:sdtContent>
              </w:sdt>
              <w:p w:rsidR="00B23DD2" w:rsidRDefault="00B23DD2">
                <w:pPr>
                  <w:pStyle w:val="Eivli"/>
                  <w:jc w:val="center"/>
                </w:pPr>
              </w:p>
              <w:p w:rsidR="00B23DD2" w:rsidRDefault="00B23DD2">
                <w:pPr>
                  <w:pStyle w:val="Eivli"/>
                  <w:jc w:val="center"/>
                </w:pPr>
              </w:p>
              <w:p w:rsidR="00B23DD2" w:rsidRDefault="00B23DD2">
                <w:pPr>
                  <w:pStyle w:val="Eivli"/>
                  <w:jc w:val="center"/>
                </w:pPr>
              </w:p>
            </w:tc>
          </w:tr>
        </w:tbl>
        <w:p w:rsidR="00B23DD2" w:rsidRDefault="00B23DD2"/>
        <w:p w:rsidR="00B23DD2" w:rsidRDefault="00B23DD2">
          <w:pPr>
            <w:spacing w:after="200" w:line="276" w:lineRule="auto"/>
            <w:rPr>
              <w:rFonts w:ascii="Arial" w:eastAsia="Verdana" w:hAnsi="Arial" w:cs="Arial"/>
              <w:b/>
              <w:bCs/>
              <w:sz w:val="26"/>
              <w:szCs w:val="26"/>
            </w:rPr>
          </w:pPr>
          <w:r>
            <w:rPr>
              <w:rFonts w:ascii="Arial" w:eastAsia="Verdana" w:hAnsi="Arial" w:cs="Arial"/>
              <w:b/>
              <w:bCs/>
              <w:sz w:val="26"/>
              <w:szCs w:val="26"/>
            </w:rPr>
            <w:br w:type="page"/>
          </w:r>
        </w:p>
      </w:sdtContent>
    </w:sdt>
    <w:p w:rsidR="002328EB" w:rsidRDefault="002328EB" w:rsidP="002328EB">
      <w:pPr>
        <w:pageBreakBefore/>
        <w:ind w:right="5795"/>
        <w:rPr>
          <w:rFonts w:ascii="Arial" w:eastAsia="Verdana" w:hAnsi="Arial" w:cs="Arial"/>
          <w:b/>
          <w:bCs/>
          <w:sz w:val="26"/>
          <w:szCs w:val="26"/>
        </w:rPr>
      </w:pPr>
      <w:r>
        <w:rPr>
          <w:rFonts w:ascii="Arial" w:eastAsia="Verdana" w:hAnsi="Arial" w:cs="Arial"/>
          <w:b/>
          <w:bCs/>
          <w:sz w:val="26"/>
          <w:szCs w:val="26"/>
        </w:rPr>
        <w:lastRenderedPageBreak/>
        <w:t>Johtaminen</w:t>
      </w:r>
    </w:p>
    <w:p w:rsidR="002328EB" w:rsidRDefault="002328EB" w:rsidP="002328EB">
      <w:pPr>
        <w:ind w:right="5795"/>
        <w:rPr>
          <w:rFonts w:ascii="Arial" w:eastAsia="Verdana" w:hAnsi="Arial" w:cs="Arial"/>
          <w:b/>
          <w:bCs/>
        </w:rPr>
      </w:pPr>
    </w:p>
    <w:p w:rsidR="002328EB" w:rsidRDefault="002328EB" w:rsidP="002328EB">
      <w:pPr>
        <w:ind w:left="360"/>
        <w:rPr>
          <w:rFonts w:ascii="Arial" w:eastAsia="Verdana" w:hAnsi="Arial" w:cs="Arial"/>
        </w:rPr>
      </w:pPr>
    </w:p>
    <w:p w:rsidR="002328EB" w:rsidRPr="002328EB" w:rsidRDefault="002328EB" w:rsidP="002328EB">
      <w:pPr>
        <w:numPr>
          <w:ilvl w:val="0"/>
          <w:numId w:val="1"/>
        </w:numPr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Lukion johtamista (rehtori- ja apulaisrehtorityö, kehittämisryhmä- ja johtoryhmätyö jne.) kehitetään suunnitelmallisesti.</w:t>
      </w:r>
    </w:p>
    <w:p w:rsidR="002328EB" w:rsidRPr="002328EB" w:rsidRDefault="002328EB" w:rsidP="002328EB">
      <w:pPr>
        <w:numPr>
          <w:ilvl w:val="0"/>
          <w:numId w:val="3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Lukion johto luo asianmukaiset edellytykset opettamiselle ja oppimiselle yhteistyössä opettajien, opiskelijoiden ja huoltajien kanssa.</w:t>
      </w:r>
    </w:p>
    <w:p w:rsidR="002328EB" w:rsidRDefault="002328EB" w:rsidP="002328EB">
      <w:pPr>
        <w:numPr>
          <w:ilvl w:val="0"/>
          <w:numId w:val="2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Lukion käytänteet kannustavat oma-aloitteellisuuteen ja oman työn jatkuvaan kehittämiseen.</w:t>
      </w:r>
    </w:p>
    <w:p w:rsidR="00314C14" w:rsidRDefault="00314C14" w:rsidP="002328EB"/>
    <w:p w:rsidR="002328EB" w:rsidRDefault="002328EB"/>
    <w:p w:rsidR="002328EB" w:rsidRPr="002328EB" w:rsidRDefault="002328EB">
      <w:pPr>
        <w:rPr>
          <w:rFonts w:ascii="Arial" w:hAnsi="Arial" w:cs="Arial"/>
          <w:b/>
        </w:rPr>
      </w:pPr>
      <w:r w:rsidRPr="002328EB">
        <w:rPr>
          <w:rFonts w:ascii="Arial" w:hAnsi="Arial" w:cs="Arial"/>
          <w:b/>
        </w:rPr>
        <w:t>Henkilöstö</w:t>
      </w:r>
      <w:bookmarkStart w:id="0" w:name="_GoBack"/>
      <w:bookmarkEnd w:id="0"/>
    </w:p>
    <w:p w:rsidR="002328EB" w:rsidRDefault="002328EB" w:rsidP="002328EB">
      <w:pPr>
        <w:rPr>
          <w:rFonts w:ascii="Arial" w:eastAsia="Verdana" w:hAnsi="Arial" w:cs="Arial"/>
          <w:b/>
          <w:bCs/>
        </w:rPr>
      </w:pPr>
    </w:p>
    <w:p w:rsidR="002328EB" w:rsidRPr="002328EB" w:rsidRDefault="002328EB" w:rsidP="002328EB">
      <w:pPr>
        <w:numPr>
          <w:ilvl w:val="0"/>
          <w:numId w:val="6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Henkilöstön pedagogisen ja tvt-osaamisen kehittäminen on suunnitelmallista.</w:t>
      </w:r>
    </w:p>
    <w:p w:rsidR="002328EB" w:rsidRPr="002328EB" w:rsidRDefault="002328EB" w:rsidP="002328EB">
      <w:pPr>
        <w:numPr>
          <w:ilvl w:val="0"/>
          <w:numId w:val="5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Lukiolla on käytettävissään yleisiä ja henkilökohtaisia kannustimia.</w:t>
      </w:r>
    </w:p>
    <w:p w:rsidR="002328EB" w:rsidRDefault="002328EB" w:rsidP="002328EB">
      <w:pPr>
        <w:numPr>
          <w:ilvl w:val="0"/>
          <w:numId w:val="4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Henkilöstön työilmapiiri tukee opetustyötä ja oppimista. Henkilöstöllä on käytettävissään työterveyshuollon palvelut ja muut terveyspalvelut.</w:t>
      </w:r>
    </w:p>
    <w:p w:rsidR="002328EB" w:rsidRDefault="002328EB"/>
    <w:p w:rsidR="002328EB" w:rsidRDefault="002328EB"/>
    <w:p w:rsidR="002328EB" w:rsidRDefault="002328EB" w:rsidP="002328EB">
      <w:pPr>
        <w:rPr>
          <w:rFonts w:ascii="Arial" w:eastAsia="Verdana" w:hAnsi="Arial" w:cs="Arial"/>
          <w:b/>
          <w:bCs/>
          <w:sz w:val="26"/>
          <w:szCs w:val="26"/>
        </w:rPr>
      </w:pPr>
      <w:r>
        <w:rPr>
          <w:rFonts w:ascii="Arial" w:eastAsia="Verdana" w:hAnsi="Arial" w:cs="Arial"/>
          <w:b/>
          <w:bCs/>
          <w:sz w:val="26"/>
          <w:szCs w:val="26"/>
        </w:rPr>
        <w:t>Taloudelliset resurssit</w:t>
      </w:r>
    </w:p>
    <w:p w:rsidR="002328EB" w:rsidRDefault="002328EB" w:rsidP="002328EB">
      <w:pPr>
        <w:rPr>
          <w:rFonts w:ascii="Arial" w:eastAsia="Verdana" w:hAnsi="Arial" w:cs="Arial"/>
          <w:b/>
          <w:bCs/>
        </w:rPr>
      </w:pPr>
    </w:p>
    <w:p w:rsidR="002328EB" w:rsidRPr="002328EB" w:rsidRDefault="002328EB" w:rsidP="002328EB">
      <w:pPr>
        <w:numPr>
          <w:ilvl w:val="0"/>
          <w:numId w:val="8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Koulutuksen järjestäjä kohdentaa riittävästi resurssia koulutukseen ja sen saavutettavuuteen sekä tukipalveluihin.</w:t>
      </w:r>
    </w:p>
    <w:p w:rsidR="002328EB" w:rsidRDefault="002328EB" w:rsidP="002328EB">
      <w:pPr>
        <w:numPr>
          <w:ilvl w:val="0"/>
          <w:numId w:val="7"/>
        </w:numPr>
        <w:tabs>
          <w:tab w:val="num" w:pos="72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Rahoitus kohdennetaan opiskelijalähtöisesti, jotta opetusryhmien koot ovat inhimillisiä ja tarjonta vastaa kysyntää. </w:t>
      </w:r>
    </w:p>
    <w:p w:rsidR="002328EB" w:rsidRDefault="002328EB" w:rsidP="002328EB">
      <w:pPr>
        <w:rPr>
          <w:rFonts w:ascii="Arial" w:eastAsia="Verdana" w:hAnsi="Arial" w:cs="Arial"/>
        </w:rPr>
      </w:pPr>
    </w:p>
    <w:p w:rsidR="002328EB" w:rsidRDefault="002328EB" w:rsidP="002328EB">
      <w:pPr>
        <w:rPr>
          <w:rFonts w:ascii="Arial" w:eastAsia="Verdana" w:hAnsi="Arial" w:cs="Arial"/>
        </w:rPr>
      </w:pPr>
    </w:p>
    <w:p w:rsidR="002328EB" w:rsidRPr="002328EB" w:rsidRDefault="002328EB" w:rsidP="002328EB">
      <w:pPr>
        <w:rPr>
          <w:rFonts w:ascii="Arial" w:eastAsia="Verdana" w:hAnsi="Arial" w:cs="Arial"/>
          <w:b/>
        </w:rPr>
      </w:pPr>
      <w:r w:rsidRPr="002328EB">
        <w:rPr>
          <w:rFonts w:ascii="Arial" w:eastAsia="Verdana" w:hAnsi="Arial" w:cs="Arial"/>
          <w:b/>
        </w:rPr>
        <w:t>Opetussuunnitelmatyö</w:t>
      </w:r>
    </w:p>
    <w:p w:rsidR="002328EB" w:rsidRPr="002328EB" w:rsidRDefault="002328EB" w:rsidP="002328EB">
      <w:pPr>
        <w:rPr>
          <w:rFonts w:ascii="Arial" w:eastAsia="Verdana" w:hAnsi="Arial" w:cs="Arial"/>
        </w:rPr>
      </w:pPr>
    </w:p>
    <w:p w:rsidR="002328EB" w:rsidRPr="002328EB" w:rsidRDefault="002328EB" w:rsidP="002328EB">
      <w:pPr>
        <w:numPr>
          <w:ilvl w:val="0"/>
          <w:numId w:val="9"/>
        </w:numPr>
        <w:tabs>
          <w:tab w:val="num" w:pos="720"/>
        </w:tabs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Erilaiset opetusmenetelmät nähdään opetuksessa toisiaan täydentävinä ja oppimista tukevina.  </w:t>
      </w:r>
    </w:p>
    <w:p w:rsidR="002328EB" w:rsidRDefault="002328EB" w:rsidP="002328EB">
      <w:pPr>
        <w:numPr>
          <w:ilvl w:val="0"/>
          <w:numId w:val="9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Sisällössä huomioidaan opiskelijan toiminta, oppiminen ja vaikutusmahdollisuudet oman oppimisen kehittämisessä. </w:t>
      </w:r>
    </w:p>
    <w:p w:rsidR="002328EB" w:rsidRDefault="002328EB"/>
    <w:p w:rsidR="002328EB" w:rsidRPr="002328EB" w:rsidRDefault="002328EB">
      <w:pPr>
        <w:rPr>
          <w:rFonts w:ascii="Arial" w:hAnsi="Arial" w:cs="Arial"/>
          <w:b/>
        </w:rPr>
      </w:pPr>
      <w:r w:rsidRPr="002328EB">
        <w:rPr>
          <w:rFonts w:ascii="Arial" w:hAnsi="Arial" w:cs="Arial"/>
          <w:b/>
        </w:rPr>
        <w:t>Opetuksen tarjoaminen:</w:t>
      </w:r>
    </w:p>
    <w:p w:rsidR="002328EB" w:rsidRDefault="002328EB"/>
    <w:p w:rsidR="002328EB" w:rsidRPr="002328EB" w:rsidRDefault="002328EB" w:rsidP="002328EB">
      <w:pPr>
        <w:numPr>
          <w:ilvl w:val="0"/>
          <w:numId w:val="10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Koulu pystyy tarjoamaan opiskelijalle lukiokursseja niin kattavasti, ettei opiskelijan lukion oppimäärään tarvitse sisällyttää ”pakkovalintoja”. </w:t>
      </w:r>
    </w:p>
    <w:p w:rsidR="002328EB" w:rsidRPr="002328EB" w:rsidRDefault="002328EB" w:rsidP="002328EB">
      <w:pPr>
        <w:numPr>
          <w:ilvl w:val="0"/>
          <w:numId w:val="10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Lisäksi koulu tarjoaa myös valinnaisten aineiden kursseja, jotka täydentävät pakollisen ainevalikoiman tarjontaa.</w:t>
      </w:r>
    </w:p>
    <w:p w:rsidR="002328EB" w:rsidRPr="002328EB" w:rsidRDefault="002328EB" w:rsidP="002328EB">
      <w:pPr>
        <w:numPr>
          <w:ilvl w:val="0"/>
          <w:numId w:val="1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Koulun kurssivalikoima on suunniteltu niin, että valinnat toteutuvat mahdollisimman hyvin. </w:t>
      </w:r>
    </w:p>
    <w:p w:rsidR="002328EB" w:rsidRPr="002328EB" w:rsidRDefault="002328EB" w:rsidP="002328EB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TVT:n käyttöön opetuksen ja opiskelun apuvälineenä kannustetaan.</w:t>
      </w:r>
    </w:p>
    <w:p w:rsidR="002328EB" w:rsidRDefault="002328EB" w:rsidP="002328EB">
      <w:pPr>
        <w:numPr>
          <w:ilvl w:val="0"/>
          <w:numId w:val="1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Kurssiarviointiin otetaan käyttöön uusia tapoja perinteisen loppukoetestaamisen rinnalle.</w:t>
      </w:r>
    </w:p>
    <w:p w:rsidR="002328EB" w:rsidRDefault="002328EB"/>
    <w:p w:rsidR="002328EB" w:rsidRDefault="002328EB"/>
    <w:p w:rsidR="002328EB" w:rsidRPr="002328EB" w:rsidRDefault="002328EB">
      <w:pPr>
        <w:rPr>
          <w:rFonts w:ascii="Arial" w:hAnsi="Arial" w:cs="Arial"/>
          <w:b/>
        </w:rPr>
      </w:pPr>
      <w:r w:rsidRPr="002328EB">
        <w:rPr>
          <w:rFonts w:ascii="Arial" w:hAnsi="Arial" w:cs="Arial"/>
          <w:b/>
        </w:rPr>
        <w:lastRenderedPageBreak/>
        <w:t>Oppimisen tuki</w:t>
      </w:r>
    </w:p>
    <w:p w:rsidR="002328EB" w:rsidRDefault="002328EB"/>
    <w:p w:rsidR="002328EB" w:rsidRPr="002328EB" w:rsidRDefault="002328EB" w:rsidP="002328EB">
      <w:pPr>
        <w:numPr>
          <w:ilvl w:val="0"/>
          <w:numId w:val="15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Uudelle opiskelijalle annetaan riittävä tuki heti koulun alkaessa. Tuesta vastaavat tutorit, ryhmänohjaajat, aineenopettajat, opinto-ohjaaja ja viimekädessä rehtori. Tehtävien jako on selvä.</w:t>
      </w:r>
    </w:p>
    <w:p w:rsidR="002328EB" w:rsidRPr="002328EB" w:rsidRDefault="002328EB" w:rsidP="002328EB">
      <w:pPr>
        <w:numPr>
          <w:ilvl w:val="0"/>
          <w:numId w:val="15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Aineenopetuksen lisäksi opettajat ohjaavat oman aineensa opiskelutekniikkaan.</w:t>
      </w:r>
    </w:p>
    <w:p w:rsidR="002328EB" w:rsidRPr="002328EB" w:rsidRDefault="002328EB" w:rsidP="002328EB">
      <w:pPr>
        <w:numPr>
          <w:ilvl w:val="0"/>
          <w:numId w:val="16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Opintojen ohjaukseen suunnataan riittävä henkilöresurssi.</w:t>
      </w:r>
    </w:p>
    <w:p w:rsidR="002328EB" w:rsidRDefault="002328EB" w:rsidP="002328EB">
      <w:pPr>
        <w:numPr>
          <w:ilvl w:val="0"/>
          <w:numId w:val="14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Lukiossa on viety käytäntöön pyrkimys kehittää opetusta. Tarkoituksenmukaiset ja ajantasaiset opetusvälineet sekä tilat tukevat opetuksen kehitystyötä.</w:t>
      </w:r>
    </w:p>
    <w:p w:rsidR="002328EB" w:rsidRDefault="002328EB"/>
    <w:p w:rsidR="002328EB" w:rsidRDefault="002328EB"/>
    <w:p w:rsidR="002328EB" w:rsidRPr="002328EB" w:rsidRDefault="002328EB">
      <w:pPr>
        <w:rPr>
          <w:rFonts w:ascii="Arial" w:hAnsi="Arial" w:cs="Arial"/>
          <w:b/>
        </w:rPr>
      </w:pPr>
      <w:r w:rsidRPr="002328EB">
        <w:rPr>
          <w:rFonts w:ascii="Arial" w:hAnsi="Arial" w:cs="Arial"/>
          <w:b/>
        </w:rPr>
        <w:t>Osallisuus ja vaikuttaminen</w:t>
      </w:r>
    </w:p>
    <w:p w:rsidR="002328EB" w:rsidRDefault="002328EB" w:rsidP="002328EB">
      <w:pPr>
        <w:ind w:left="360"/>
        <w:rPr>
          <w:rFonts w:ascii="Arial" w:eastAsia="Verdana" w:hAnsi="Arial" w:cs="Arial"/>
          <w:b/>
          <w:bCs/>
        </w:rPr>
      </w:pPr>
    </w:p>
    <w:p w:rsidR="002328EB" w:rsidRPr="002328EB" w:rsidRDefault="002328EB" w:rsidP="007D6945">
      <w:pPr>
        <w:numPr>
          <w:ilvl w:val="0"/>
          <w:numId w:val="17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Oppilaskunnan toiminta on tavoitteellista, suunnitelmallista ja vaikuttavaa.</w:t>
      </w:r>
    </w:p>
    <w:p w:rsidR="002328EB" w:rsidRPr="002328EB" w:rsidRDefault="002328EB" w:rsidP="007D6945">
      <w:pPr>
        <w:numPr>
          <w:ilvl w:val="0"/>
          <w:numId w:val="18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Projekteja ja teemapäiviä on lukuvuosittain ja ne toteutetaan opiskelijoiden ja opettajien yhteistyönä.</w:t>
      </w:r>
    </w:p>
    <w:p w:rsidR="002328EB" w:rsidRDefault="002328EB" w:rsidP="007D6945">
      <w:pPr>
        <w:numPr>
          <w:ilvl w:val="0"/>
          <w:numId w:val="19"/>
        </w:numPr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Opettajilla on valmiuksia ja mahdollisuus saada koulutusta erilaisten oppimisvaikeuksien kohtaamiseen.</w:t>
      </w:r>
    </w:p>
    <w:p w:rsidR="002328EB" w:rsidRDefault="002328EB" w:rsidP="002328EB">
      <w:pPr>
        <w:rPr>
          <w:rFonts w:ascii="Arial" w:eastAsia="Verdana" w:hAnsi="Arial" w:cs="Arial"/>
        </w:rPr>
      </w:pPr>
    </w:p>
    <w:p w:rsidR="002328EB" w:rsidRDefault="002328EB" w:rsidP="002328EB">
      <w:pPr>
        <w:rPr>
          <w:rFonts w:ascii="Arial" w:eastAsia="Verdana" w:hAnsi="Arial" w:cs="Arial"/>
        </w:rPr>
      </w:pPr>
    </w:p>
    <w:p w:rsidR="002328EB" w:rsidRPr="002328EB" w:rsidRDefault="002328EB" w:rsidP="002328EB">
      <w:pPr>
        <w:rPr>
          <w:rFonts w:ascii="Arial" w:eastAsia="Verdana" w:hAnsi="Arial" w:cs="Arial"/>
          <w:b/>
        </w:rPr>
      </w:pPr>
      <w:r w:rsidRPr="002328EB">
        <w:rPr>
          <w:rFonts w:ascii="Arial" w:eastAsia="Verdana" w:hAnsi="Arial" w:cs="Arial"/>
          <w:b/>
        </w:rPr>
        <w:t>Yhteistyö ja kumppanuudet</w:t>
      </w:r>
    </w:p>
    <w:p w:rsidR="002328EB" w:rsidRPr="002328EB" w:rsidRDefault="002328EB" w:rsidP="007D6945">
      <w:pPr>
        <w:spacing w:line="276" w:lineRule="auto"/>
        <w:rPr>
          <w:rFonts w:ascii="Arial" w:eastAsia="Verdana" w:hAnsi="Arial" w:cs="Arial"/>
        </w:rPr>
      </w:pPr>
    </w:p>
    <w:p w:rsidR="002328EB" w:rsidRDefault="007D6945" w:rsidP="007D6945">
      <w:pPr>
        <w:numPr>
          <w:ilvl w:val="0"/>
          <w:numId w:val="20"/>
        </w:numPr>
        <w:tabs>
          <w:tab w:val="num" w:pos="720"/>
        </w:tabs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Koululla on kansainvälisiä kumppaneita. Yhteistyö heidän kanssaan on säännöllistä ja suunnitelmallista. </w:t>
      </w:r>
    </w:p>
    <w:p w:rsidR="007D6945" w:rsidRDefault="007D6945" w:rsidP="007D6945">
      <w:pPr>
        <w:numPr>
          <w:ilvl w:val="0"/>
          <w:numId w:val="20"/>
        </w:numPr>
        <w:tabs>
          <w:tab w:val="num" w:pos="720"/>
        </w:tabs>
        <w:spacing w:line="276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Viestintäpainotuksen tukena on yhteistyötahoja. Yhteyksiä hyödynnetään viestintäkasvatuksessa ja –opetuksessa. </w:t>
      </w:r>
    </w:p>
    <w:p w:rsidR="002328EB" w:rsidRDefault="002328EB" w:rsidP="002328EB">
      <w:pPr>
        <w:spacing w:line="276" w:lineRule="auto"/>
        <w:rPr>
          <w:rFonts w:ascii="Arial" w:eastAsia="Verdana" w:hAnsi="Arial" w:cs="Arial"/>
        </w:rPr>
      </w:pPr>
    </w:p>
    <w:p w:rsidR="007D6945" w:rsidRDefault="007D6945" w:rsidP="002328EB">
      <w:pPr>
        <w:spacing w:line="276" w:lineRule="auto"/>
        <w:rPr>
          <w:rFonts w:ascii="Arial" w:eastAsia="Verdana" w:hAnsi="Arial" w:cs="Arial"/>
        </w:rPr>
      </w:pPr>
    </w:p>
    <w:p w:rsidR="002328EB" w:rsidRDefault="002328EB" w:rsidP="002328EB">
      <w:pPr>
        <w:spacing w:line="276" w:lineRule="auto"/>
        <w:rPr>
          <w:rFonts w:ascii="Arial" w:eastAsia="Verdana" w:hAnsi="Arial" w:cs="Arial"/>
        </w:rPr>
      </w:pPr>
    </w:p>
    <w:p w:rsidR="002328EB" w:rsidRDefault="002328EB" w:rsidP="002328EB">
      <w:pPr>
        <w:spacing w:line="276" w:lineRule="auto"/>
        <w:rPr>
          <w:rFonts w:ascii="Arial" w:eastAsia="Verdana" w:hAnsi="Arial" w:cs="Arial"/>
        </w:rPr>
      </w:pPr>
    </w:p>
    <w:p w:rsidR="002328EB" w:rsidRDefault="002328EB"/>
    <w:sectPr w:rsidR="002328EB" w:rsidSect="00B23DD2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100"/>
    <w:multiLevelType w:val="hybridMultilevel"/>
    <w:tmpl w:val="7D6AA8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72C6"/>
    <w:multiLevelType w:val="hybridMultilevel"/>
    <w:tmpl w:val="C70829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597B"/>
    <w:multiLevelType w:val="hybridMultilevel"/>
    <w:tmpl w:val="24D6AB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794E"/>
    <w:multiLevelType w:val="hybridMultilevel"/>
    <w:tmpl w:val="FDFA1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75F8"/>
    <w:multiLevelType w:val="hybridMultilevel"/>
    <w:tmpl w:val="EF72AA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A61"/>
    <w:multiLevelType w:val="hybridMultilevel"/>
    <w:tmpl w:val="5E3A5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E201D"/>
    <w:multiLevelType w:val="hybridMultilevel"/>
    <w:tmpl w:val="7DCA3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32C40"/>
    <w:multiLevelType w:val="hybridMultilevel"/>
    <w:tmpl w:val="A8069B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54A4C"/>
    <w:multiLevelType w:val="hybridMultilevel"/>
    <w:tmpl w:val="095EA7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23FE"/>
    <w:multiLevelType w:val="hybridMultilevel"/>
    <w:tmpl w:val="F496A0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D7558"/>
    <w:multiLevelType w:val="hybridMultilevel"/>
    <w:tmpl w:val="0450B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1261A"/>
    <w:multiLevelType w:val="hybridMultilevel"/>
    <w:tmpl w:val="D9261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5711F"/>
    <w:multiLevelType w:val="hybridMultilevel"/>
    <w:tmpl w:val="080297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047AB"/>
    <w:multiLevelType w:val="hybridMultilevel"/>
    <w:tmpl w:val="8BA6FF8A"/>
    <w:lvl w:ilvl="0" w:tplc="C2DE6A1A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E88B53A">
      <w:start w:val="1"/>
      <w:numFmt w:val="bullet"/>
      <w:lvlText w:val="○"/>
      <w:lvlJc w:val="left"/>
      <w:pPr>
        <w:tabs>
          <w:tab w:val="num" w:pos="-720"/>
        </w:tabs>
        <w:ind w:left="108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180F5BE">
      <w:start w:val="1"/>
      <w:numFmt w:val="bullet"/>
      <w:lvlText w:val="■"/>
      <w:lvlJc w:val="right"/>
      <w:pPr>
        <w:tabs>
          <w:tab w:val="num" w:pos="-720"/>
        </w:tabs>
        <w:ind w:left="180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C4020B0">
      <w:start w:val="1"/>
      <w:numFmt w:val="bullet"/>
      <w:lvlText w:val="●"/>
      <w:lvlJc w:val="left"/>
      <w:pPr>
        <w:tabs>
          <w:tab w:val="num" w:pos="-720"/>
        </w:tabs>
        <w:ind w:left="252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F6E4CD2">
      <w:start w:val="1"/>
      <w:numFmt w:val="bullet"/>
      <w:lvlText w:val="○"/>
      <w:lvlJc w:val="left"/>
      <w:pPr>
        <w:tabs>
          <w:tab w:val="num" w:pos="-720"/>
        </w:tabs>
        <w:ind w:left="324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DD4F7BC">
      <w:start w:val="1"/>
      <w:numFmt w:val="bullet"/>
      <w:lvlText w:val="■"/>
      <w:lvlJc w:val="right"/>
      <w:pPr>
        <w:tabs>
          <w:tab w:val="num" w:pos="-720"/>
        </w:tabs>
        <w:ind w:left="396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A9A92BC">
      <w:start w:val="1"/>
      <w:numFmt w:val="bullet"/>
      <w:lvlText w:val="●"/>
      <w:lvlJc w:val="left"/>
      <w:pPr>
        <w:tabs>
          <w:tab w:val="num" w:pos="-720"/>
        </w:tabs>
        <w:ind w:left="46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824D436">
      <w:start w:val="1"/>
      <w:numFmt w:val="bullet"/>
      <w:lvlText w:val="○"/>
      <w:lvlJc w:val="left"/>
      <w:pPr>
        <w:tabs>
          <w:tab w:val="num" w:pos="-720"/>
        </w:tabs>
        <w:ind w:left="54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7208EB0">
      <w:start w:val="1"/>
      <w:numFmt w:val="bullet"/>
      <w:lvlText w:val="■"/>
      <w:lvlJc w:val="right"/>
      <w:pPr>
        <w:tabs>
          <w:tab w:val="num" w:pos="-720"/>
        </w:tabs>
        <w:ind w:left="61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4" w15:restartNumberingAfterBreak="0">
    <w:nsid w:val="726134B4"/>
    <w:multiLevelType w:val="hybridMultilevel"/>
    <w:tmpl w:val="447C95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30CB2"/>
    <w:multiLevelType w:val="hybridMultilevel"/>
    <w:tmpl w:val="84D0B0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A4F93"/>
    <w:multiLevelType w:val="hybridMultilevel"/>
    <w:tmpl w:val="25E2B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F6E3A"/>
    <w:multiLevelType w:val="hybridMultilevel"/>
    <w:tmpl w:val="02B8C0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62B8C"/>
    <w:multiLevelType w:val="hybridMultilevel"/>
    <w:tmpl w:val="B2DE9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A4933"/>
    <w:multiLevelType w:val="hybridMultilevel"/>
    <w:tmpl w:val="F572D5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7"/>
  </w:num>
  <w:num w:numId="5">
    <w:abstractNumId w:val="11"/>
  </w:num>
  <w:num w:numId="6">
    <w:abstractNumId w:val="2"/>
  </w:num>
  <w:num w:numId="7">
    <w:abstractNumId w:val="19"/>
  </w:num>
  <w:num w:numId="8">
    <w:abstractNumId w:val="18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  <w:num w:numId="13">
    <w:abstractNumId w:val="9"/>
  </w:num>
  <w:num w:numId="14">
    <w:abstractNumId w:val="1"/>
  </w:num>
  <w:num w:numId="15">
    <w:abstractNumId w:val="13"/>
  </w:num>
  <w:num w:numId="16">
    <w:abstractNumId w:val="15"/>
  </w:num>
  <w:num w:numId="17">
    <w:abstractNumId w:val="6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EB"/>
    <w:rsid w:val="002328EB"/>
    <w:rsid w:val="00314C14"/>
    <w:rsid w:val="0040135B"/>
    <w:rsid w:val="00524742"/>
    <w:rsid w:val="0077070C"/>
    <w:rsid w:val="007D6945"/>
    <w:rsid w:val="00A4701A"/>
    <w:rsid w:val="00AC3695"/>
    <w:rsid w:val="00B23DD2"/>
    <w:rsid w:val="00E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6158C-C07E-4F32-AD45-5FACFF0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328E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B23DD2"/>
    <w:pPr>
      <w:spacing w:after="0" w:line="240" w:lineRule="auto"/>
    </w:pPr>
    <w:rPr>
      <w:rFonts w:asciiTheme="minorHAnsi" w:eastAsiaTheme="minorEastAsia" w:hAnsiTheme="minorHAnsi" w:cstheme="minorBidi"/>
      <w:sz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B23DD2"/>
    <w:rPr>
      <w:rFonts w:asciiTheme="minorHAnsi" w:eastAsiaTheme="minorEastAsia" w:hAnsiTheme="minorHAnsi" w:cstheme="minorBidi"/>
      <w:sz w:val="22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3DD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3DD2"/>
    <w:rPr>
      <w:rFonts w:ascii="Tahoma" w:eastAsia="Times New Roman" w:hAnsi="Tahoma" w:cs="Tahoma"/>
      <w:color w:val="000000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951F5B872C44C69AB54F71CF26D7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5A8A3F-3B97-400F-966B-561DF2664467}"/>
      </w:docPartPr>
      <w:docPartBody>
        <w:p w:rsidR="008E2150" w:rsidRDefault="001546D6" w:rsidP="001546D6">
          <w:pPr>
            <w:pStyle w:val="7D951F5B872C44C69AB54F71CF26D712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[Tiedoston otsikko]</w:t>
          </w:r>
        </w:p>
      </w:docPartBody>
    </w:docPart>
    <w:docPart>
      <w:docPartPr>
        <w:name w:val="AE07CA875B584DCEA6C78260A2C517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DC8171-BE13-4D74-8EB7-FD5771CD5439}"/>
      </w:docPartPr>
      <w:docPartBody>
        <w:p w:rsidR="008E2150" w:rsidRDefault="001546D6" w:rsidP="001546D6">
          <w:pPr>
            <w:pStyle w:val="AE07CA875B584DCEA6C78260A2C517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[Tiedoston alaotsikko]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D6"/>
    <w:rsid w:val="001546D6"/>
    <w:rsid w:val="00456457"/>
    <w:rsid w:val="008E2150"/>
    <w:rsid w:val="00C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D951F5B872C44C69AB54F71CF26D712">
    <w:name w:val="7D951F5B872C44C69AB54F71CF26D712"/>
    <w:rsid w:val="001546D6"/>
  </w:style>
  <w:style w:type="paragraph" w:customStyle="1" w:styleId="AE07CA875B584DCEA6C78260A2C51799">
    <w:name w:val="AE07CA875B584DCEA6C78260A2C51799"/>
    <w:rsid w:val="001546D6"/>
  </w:style>
  <w:style w:type="paragraph" w:customStyle="1" w:styleId="9F95358C34884EB6A00EFAE0EED1A14A">
    <w:name w:val="9F95358C34884EB6A00EFAE0EED1A14A"/>
    <w:rsid w:val="001546D6"/>
  </w:style>
  <w:style w:type="paragraph" w:customStyle="1" w:styleId="0664C718A43A4372B3A947CB34A959CD">
    <w:name w:val="0664C718A43A4372B3A947CB34A959CD"/>
    <w:rsid w:val="00154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Laatukriteerit</vt:lpstr>
    </vt:vector>
  </TitlesOfParts>
  <Company>HP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Laatukriteerit</dc:title>
  <dc:subject>Erkko-lukio</dc:subject>
  <dc:creator>Timo</dc:creator>
  <cp:lastModifiedBy>Piia Uotinen</cp:lastModifiedBy>
  <cp:revision>2</cp:revision>
  <cp:lastPrinted>2013-01-23T07:18:00Z</cp:lastPrinted>
  <dcterms:created xsi:type="dcterms:W3CDTF">2016-10-13T06:20:00Z</dcterms:created>
  <dcterms:modified xsi:type="dcterms:W3CDTF">2016-10-13T06:20:00Z</dcterms:modified>
</cp:coreProperties>
</file>