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Evankelisluterilainen uskonto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7. luokka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S1 Suhde omaan uskontoon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025"/>
      </w:tblGrid>
      <w:tr>
        <w:trPr>
          <w:trHeight w:val="1" w:hRule="atLeast"/>
          <w:jc w:val="left"/>
        </w:trPr>
        <w:tc>
          <w:tcPr>
            <w:tcW w:w="902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Tavoitteet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Oppilas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havaitsee kristinuskon ja kulttuurin vuorovaikutuksen ja tunnistaa kristinuskon monimuotoisuuden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syventää tietojaan omasta uskonnosta ja sen vaikutuksista: miten näkyy arjessa, omassa                elinympäristössä ja yhteiskunnassa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- ymmärtää uskonnon ja tieteen kielen välisiä eroja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- tuntee kristinuskon symboleita sekä tunnistaa kristinuskoon liittyviä aiheita mediassa,  maailmanpolitiikassa, taiteessa ja populaarikulttuurissa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- osaa pohtia kristinuskon maailmanlaajuista merkitystä ihmisten valintojen perusteena ja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ohjaajana ja kiinnittää huomiota ajankohtaisiin eettisiin kysymyksiin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-rohkaistuu kohtaamaan erilaisia ihmisiä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3029"/>
        <w:gridCol w:w="4260"/>
        <w:gridCol w:w="1740"/>
      </w:tblGrid>
      <w:tr>
        <w:trPr>
          <w:trHeight w:val="1" w:hRule="atLeast"/>
          <w:jc w:val="left"/>
        </w:trPr>
        <w:tc>
          <w:tcPr>
            <w:tcW w:w="9029" w:type="dxa"/>
            <w:gridSpan w:val="3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  <w:tr>
        <w:trPr>
          <w:trHeight w:val="1860" w:hRule="auto"/>
          <w:jc w:val="left"/>
        </w:trPr>
        <w:tc>
          <w:tcPr>
            <w:tcW w:w="302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Osa-alue=sisältöalue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  <w:tc>
          <w:tcPr>
            <w:tcW w:w="426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</w:tc>
        <w:tc>
          <w:tcPr>
            <w:tcW w:w="174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 osaaminen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302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Oman </w:t>
              <w:tab/>
              <w:tab/>
              <w:tab/>
              <w:t xml:space="preserve">uskonnon syntytausta, kehitys ja kirkkokunnat</w:t>
            </w:r>
          </w:p>
        </w:tc>
        <w:tc>
          <w:tcPr>
            <w:tcW w:w="426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-kristinuskon synty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-kehitys alkukirkosta nykypäivään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-kristinuskon oppi ja opetukset</w:t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-suurimmat kirkkokunnat, erityisesti luterilaisuus, ekumenia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</w:tc>
        <w:tc>
          <w:tcPr>
            <w:tcW w:w="174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L1, L2, L4, L7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302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Kristilliset symbolit ja uskonnolliset aiheet mediassa, maailmanpolitiikassa, </w:t>
              <w:tab/>
              <w:t xml:space="preserve">taiteessa ja populaarikulttuurissa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</w:tc>
        <w:tc>
          <w:tcPr>
            <w:tcW w:w="426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-kristilliset symbolit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-kristinusko mediassa, maailmanpolitiikassa, taiteessa ja populaarikulttuurissa (historialliset ja ajankohtaiset aiheet)</w:t>
            </w:r>
          </w:p>
        </w:tc>
        <w:tc>
          <w:tcPr>
            <w:tcW w:w="174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L1, L2, L4, L5, L6</w:t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2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Kristinuskon </w:t>
              <w:tab/>
              <w:t xml:space="preserve">vaikutus kulttuuriin, yhteiskuntaan ja yksilöön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  <w:tc>
          <w:tcPr>
            <w:tcW w:w="426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-uskonnollisten yhteisöjen vaikutus paikkakunnalla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-uskonnollisten yhteisöjen vaikutus Suomessa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-kirkkovuosi paikallisessa yhteisössä (tavat, juhlat, perinteet)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-kristinuskon levinneisyys ja kulttuurivaikutus maailmassa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erilaisuuden kohtaaminen</w:t>
            </w:r>
          </w:p>
        </w:tc>
        <w:tc>
          <w:tcPr>
            <w:tcW w:w="174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 xml:space="preserve">L1-L7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6005"/>
        <w:gridCol w:w="620"/>
      </w:tblGrid>
      <w:tr>
        <w:trPr>
          <w:trHeight w:val="1" w:hRule="atLeast"/>
          <w:jc w:val="left"/>
        </w:trPr>
        <w:tc>
          <w:tcPr>
            <w:tcW w:w="6625" w:type="dxa"/>
            <w:gridSpan w:val="2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Arviointi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Monipuolinen arviointi: tuotosten lisäksi arvioidaan opiskeluprosessia, arvioinnin tukena voidaan käyttää itsearviointia ja vertaispalautetta. Arvioinnista sovitaan kurssin alussa.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  <w:tab/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600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Hyvä osaaminen (8)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otetaan suoraan valtakunnallisista opetussuunnitelman perusteista                               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  <w:tc>
          <w:tcPr>
            <w:tcW w:w="62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600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  <w:tc>
          <w:tcPr>
            <w:tcW w:w="62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