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Lora" w:cs="Lora" w:eastAsia="Lora" w:hAnsi="Lora"/>
          <w:sz w:val="26"/>
          <w:szCs w:val="26"/>
          <w:rtl w:val="0"/>
        </w:rPr>
        <w:t xml:space="preserve">Vertaile annettuja asioita keskenään niin, että vertaat kahta niistä kahta ja jäljelle jäänyt on aina hienoin ym.</w:t>
      </w:r>
    </w:p>
    <w:p w:rsidR="00000000" w:rsidDel="00000000" w:rsidP="00000000" w:rsidRDefault="00000000" w:rsidRPr="00000000" w14:paraId="00000002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Nova Mono" w:cs="Nova Mono" w:eastAsia="Nova Mono" w:hAnsi="Nova Mono"/>
          <w:i w:val="1"/>
          <w:sz w:val="26"/>
          <w:szCs w:val="26"/>
          <w:rtl w:val="0"/>
        </w:rPr>
        <w:t xml:space="preserve">Modello: Roma - Napoli - Milano → bello = Milano è meno bella di Roma, ma Napoli è la città più bella.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Turku - Helsinki - Tampere → vecchio</w:t>
      </w:r>
    </w:p>
    <w:p w:rsidR="00000000" w:rsidDel="00000000" w:rsidP="00000000" w:rsidRDefault="00000000" w:rsidRPr="00000000" w14:paraId="00000006">
      <w:pPr>
        <w:spacing w:line="480" w:lineRule="auto"/>
        <w:ind w:left="0" w:firstLine="0"/>
        <w:rPr>
          <w:rFonts w:ascii="Merriweather" w:cs="Merriweather" w:eastAsia="Merriweather" w:hAnsi="Merriweather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La cucina italiana - La cucina finlandese - La cucina asiatica → buono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L’estate - L’inverno - La primavera/L’autunno (puoi scegliere) → bello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Fare il bagno - Fare una passeggiata - Fare palestra → impegnativo</w:t>
      </w:r>
    </w:p>
    <w:p w:rsidR="00000000" w:rsidDel="00000000" w:rsidP="00000000" w:rsidRDefault="00000000" w:rsidRPr="00000000" w14:paraId="0000000C">
      <w:pPr>
        <w:spacing w:line="480" w:lineRule="auto"/>
        <w:rPr>
          <w:rFonts w:ascii="Merriweather" w:cs="Merriweather" w:eastAsia="Merriweather" w:hAnsi="Merriweather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Prendere un caffè - Andare in ristorante - Fare shopping → divertente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Lavorare a casa - Lavorare in ufficio - Lavorare all'estero → comodo</w:t>
      </w:r>
    </w:p>
    <w:p w:rsidR="00000000" w:rsidDel="00000000" w:rsidP="00000000" w:rsidRDefault="00000000" w:rsidRPr="00000000" w14:paraId="00000010">
      <w:pPr>
        <w:spacing w:line="48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Studiare in presenza - Studiare in remoto - Self-study → facile</w:t>
      </w:r>
    </w:p>
    <w:p w:rsidR="00000000" w:rsidDel="00000000" w:rsidP="00000000" w:rsidRDefault="00000000" w:rsidRPr="00000000" w14:paraId="00000012">
      <w:pPr>
        <w:spacing w:line="48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480" w:lineRule="auto"/>
        <w:ind w:left="720" w:hanging="360"/>
        <w:rPr>
          <w:rFonts w:ascii="Lora" w:cs="Lora" w:eastAsia="Lora" w:hAnsi="Lora"/>
          <w:sz w:val="26"/>
          <w:szCs w:val="26"/>
          <w:u w:val="none"/>
        </w:rPr>
      </w:pPr>
      <w:r w:rsidDel="00000000" w:rsidR="00000000" w:rsidRPr="00000000">
        <w:rPr>
          <w:rFonts w:ascii="Nova Mono" w:cs="Nova Mono" w:eastAsia="Nova Mono" w:hAnsi="Nova Mono"/>
          <w:sz w:val="26"/>
          <w:szCs w:val="26"/>
          <w:rtl w:val="0"/>
        </w:rPr>
        <w:t xml:space="preserve">La grammatica - Il vocabolario - La pronuncia → importante</w:t>
      </w:r>
    </w:p>
    <w:p w:rsidR="00000000" w:rsidDel="00000000" w:rsidP="00000000" w:rsidRDefault="00000000" w:rsidRPr="00000000" w14:paraId="00000014">
      <w:pPr>
        <w:spacing w:line="480" w:lineRule="auto"/>
        <w:rPr>
          <w:rFonts w:ascii="Lora" w:cs="Lora" w:eastAsia="Lora" w:hAnsi="Lora"/>
          <w:sz w:val="26"/>
          <w:szCs w:val="26"/>
        </w:rPr>
      </w:pPr>
      <w:r w:rsidDel="00000000" w:rsidR="00000000" w:rsidRPr="00000000">
        <w:rPr>
          <w:rFonts w:ascii="Merriweather" w:cs="Merriweather" w:eastAsia="Merriweather" w:hAnsi="Merriweather"/>
          <w:sz w:val="26"/>
          <w:szCs w:val="26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erriweather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va Mono">
    <w:embedRegular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Relationship Id="rId9" Type="http://schemas.openxmlformats.org/officeDocument/2006/relationships/font" Target="fonts/NovaMono-regular.ttf"/><Relationship Id="rId5" Type="http://schemas.openxmlformats.org/officeDocument/2006/relationships/font" Target="fonts/Merriweather-regular.ttf"/><Relationship Id="rId6" Type="http://schemas.openxmlformats.org/officeDocument/2006/relationships/font" Target="fonts/Merriweather-bold.ttf"/><Relationship Id="rId7" Type="http://schemas.openxmlformats.org/officeDocument/2006/relationships/font" Target="fonts/Merriweather-italic.ttf"/><Relationship Id="rId8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