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C6B66" w14:textId="77777777" w:rsidR="002519A0" w:rsidRDefault="00ED5699">
      <w:pPr>
        <w:spacing w:after="280" w:line="240" w:lineRule="auto"/>
        <w:rPr>
          <w:rFonts w:ascii="inherit" w:eastAsia="inherit" w:hAnsi="inherit" w:cs="inherit"/>
          <w:b/>
          <w:color w:val="212529"/>
          <w:sz w:val="28"/>
          <w:szCs w:val="28"/>
        </w:rPr>
      </w:pPr>
      <w:r>
        <w:rPr>
          <w:rFonts w:ascii="inherit" w:eastAsia="inherit" w:hAnsi="inherit" w:cs="inherit"/>
          <w:b/>
          <w:color w:val="212529"/>
          <w:sz w:val="28"/>
          <w:szCs w:val="28"/>
        </w:rPr>
        <w:t>Perustiedot -välilehti</w:t>
      </w:r>
    </w:p>
    <w:tbl>
      <w:tblPr>
        <w:tblStyle w:val="a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938"/>
      </w:tblGrid>
      <w:tr w:rsidR="002519A0" w14:paraId="5F417439" w14:textId="77777777">
        <w:trPr>
          <w:trHeight w:val="760"/>
        </w:trPr>
        <w:tc>
          <w:tcPr>
            <w:tcW w:w="2122" w:type="dxa"/>
            <w:vAlign w:val="center"/>
          </w:tcPr>
          <w:p w14:paraId="5380D53C" w14:textId="77777777" w:rsidR="002519A0" w:rsidRDefault="00ED5699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000000"/>
                <w:sz w:val="24"/>
                <w:szCs w:val="24"/>
              </w:rPr>
              <w:t>Nimi</w:t>
            </w:r>
          </w:p>
        </w:tc>
        <w:tc>
          <w:tcPr>
            <w:tcW w:w="7938" w:type="dxa"/>
            <w:vAlign w:val="center"/>
          </w:tcPr>
          <w:p w14:paraId="10814CF2" w14:textId="77777777" w:rsidR="002519A0" w:rsidRDefault="00ED5699">
            <w:pPr>
              <w:numPr>
                <w:ilvl w:val="0"/>
                <w:numId w:val="11"/>
              </w:numPr>
              <w:spacing w:after="0"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white"/>
              </w:rPr>
              <w:t>Ympäristö- ja tiedekasvatus</w:t>
            </w:r>
          </w:p>
          <w:p w14:paraId="4B7193D7" w14:textId="77777777" w:rsidR="002519A0" w:rsidRDefault="00ED5699">
            <w:pPr>
              <w:numPr>
                <w:ilvl w:val="0"/>
                <w:numId w:val="11"/>
              </w:numPr>
              <w:spacing w:after="0"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white"/>
              </w:rPr>
              <w:t>Environmental</w:t>
            </w:r>
            <w:proofErr w:type="spellEnd"/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white"/>
              </w:rPr>
              <w:t xml:space="preserve"> and Science </w:t>
            </w:r>
            <w:proofErr w:type="spellStart"/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white"/>
              </w:rPr>
              <w:t>Education</w:t>
            </w:r>
            <w:proofErr w:type="spellEnd"/>
          </w:p>
        </w:tc>
      </w:tr>
      <w:tr w:rsidR="002519A0" w14:paraId="109FEBB5" w14:textId="77777777">
        <w:tc>
          <w:tcPr>
            <w:tcW w:w="2122" w:type="dxa"/>
            <w:vAlign w:val="center"/>
          </w:tcPr>
          <w:p w14:paraId="6D1495BB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(Opintojakson lyhenne)</w:t>
            </w:r>
          </w:p>
        </w:tc>
        <w:tc>
          <w:tcPr>
            <w:tcW w:w="7938" w:type="dxa"/>
            <w:vAlign w:val="center"/>
          </w:tcPr>
          <w:p w14:paraId="49C11DC5" w14:textId="77777777" w:rsidR="002519A0" w:rsidRDefault="00ED5699">
            <w:pPr>
              <w:numPr>
                <w:ilvl w:val="0"/>
                <w:numId w:val="12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Tämä näkyy opiskelijalle opintojaksoesitteen perustiedoissa.</w:t>
            </w:r>
          </w:p>
        </w:tc>
      </w:tr>
      <w:tr w:rsidR="002519A0" w14:paraId="0055FD2C" w14:textId="77777777">
        <w:tc>
          <w:tcPr>
            <w:tcW w:w="2122" w:type="dxa"/>
            <w:vAlign w:val="center"/>
          </w:tcPr>
          <w:p w14:paraId="622229C3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(Koodi)</w:t>
            </w:r>
          </w:p>
        </w:tc>
        <w:tc>
          <w:tcPr>
            <w:tcW w:w="7938" w:type="dxa"/>
            <w:vAlign w:val="center"/>
          </w:tcPr>
          <w:p w14:paraId="53A901B8" w14:textId="77777777" w:rsidR="002519A0" w:rsidRDefault="00ED5699">
            <w:pPr>
              <w:numPr>
                <w:ilvl w:val="0"/>
                <w:numId w:val="1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 xml:space="preserve">Opintojaksolla on opetussuunnitelmassa yksilöivä koodi. </w:t>
            </w:r>
            <w:r>
              <w:rPr>
                <w:rFonts w:ascii="Lato" w:eastAsia="Lato" w:hAnsi="Lato" w:cs="Lato"/>
                <w:b/>
                <w:color w:val="212529"/>
                <w:sz w:val="16"/>
                <w:szCs w:val="16"/>
                <w:highlight w:val="yellow"/>
              </w:rPr>
              <w:t>OKL:n lisäys: koulutuspalvelut lisäävät ja tarvittaessa miettivät uudet koodit</w:t>
            </w:r>
            <w:r>
              <w:rPr>
                <w:rFonts w:ascii="Lato" w:eastAsia="Lato" w:hAnsi="Lato" w:cs="Lato"/>
                <w:b/>
                <w:color w:val="212529"/>
                <w:sz w:val="16"/>
                <w:szCs w:val="16"/>
              </w:rPr>
              <w:t>.</w:t>
            </w:r>
          </w:p>
          <w:p w14:paraId="15B3CE8E" w14:textId="77777777" w:rsidR="002519A0" w:rsidRDefault="00ED5699">
            <w:pPr>
              <w:numPr>
                <w:ilvl w:val="0"/>
                <w:numId w:val="1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Yhdellä opintojaksolla voi olla vain yksi koodi ja yksi opintojakson koodi voi olla käytössä vain yhdellä opintojaksolla.</w:t>
            </w:r>
          </w:p>
          <w:p w14:paraId="2E07E7D7" w14:textId="77777777" w:rsidR="002519A0" w:rsidRDefault="00355E2C">
            <w:pPr>
              <w:numPr>
                <w:ilvl w:val="0"/>
                <w:numId w:val="1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hyperlink r:id="rId7">
              <w:r w:rsidR="00ED5699">
                <w:rPr>
                  <w:rFonts w:ascii="Lato" w:eastAsia="Lato" w:hAnsi="Lato" w:cs="Lato"/>
                  <w:color w:val="002957"/>
                  <w:sz w:val="16"/>
                  <w:szCs w:val="16"/>
                </w:rPr>
                <w:t>Lue ohjeet opintojaksojen koodien luomiseen</w:t>
              </w:r>
            </w:hyperlink>
            <w:r w:rsidR="00ED5699">
              <w:rPr>
                <w:rFonts w:ascii="Lato" w:eastAsia="Lato" w:hAnsi="Lato" w:cs="Lato"/>
                <w:color w:val="212529"/>
                <w:sz w:val="16"/>
                <w:szCs w:val="16"/>
              </w:rPr>
              <w:t>. Huom. linkattu ohje kaudelta 2017-20, päivitetään mahdollisimman pian</w:t>
            </w:r>
          </w:p>
        </w:tc>
      </w:tr>
      <w:tr w:rsidR="002519A0" w14:paraId="62D33B52" w14:textId="77777777">
        <w:tc>
          <w:tcPr>
            <w:tcW w:w="2122" w:type="dxa"/>
            <w:vAlign w:val="center"/>
          </w:tcPr>
          <w:p w14:paraId="7DDE4132" w14:textId="77777777" w:rsidR="002519A0" w:rsidRDefault="00ED5699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Arviointiasteikko </w:t>
            </w:r>
          </w:p>
        </w:tc>
        <w:tc>
          <w:tcPr>
            <w:tcW w:w="7938" w:type="dxa"/>
            <w:vAlign w:val="center"/>
          </w:tcPr>
          <w:p w14:paraId="52780E8E" w14:textId="77777777" w:rsidR="002519A0" w:rsidRDefault="00ED5699">
            <w:pPr>
              <w:numPr>
                <w:ilvl w:val="0"/>
                <w:numId w:val="2"/>
              </w:numPr>
              <w:spacing w:after="0"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white"/>
              </w:rPr>
              <w:t>0-5</w:t>
            </w:r>
          </w:p>
        </w:tc>
      </w:tr>
      <w:tr w:rsidR="002519A0" w14:paraId="3DF1C346" w14:textId="77777777">
        <w:tc>
          <w:tcPr>
            <w:tcW w:w="2122" w:type="dxa"/>
            <w:vAlign w:val="center"/>
          </w:tcPr>
          <w:p w14:paraId="5C979B8B" w14:textId="77777777" w:rsidR="002519A0" w:rsidRDefault="00ED5699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Laajuus</w:t>
            </w:r>
          </w:p>
        </w:tc>
        <w:tc>
          <w:tcPr>
            <w:tcW w:w="7938" w:type="dxa"/>
            <w:vAlign w:val="center"/>
          </w:tcPr>
          <w:p w14:paraId="3F370CC5" w14:textId="77777777" w:rsidR="002519A0" w:rsidRDefault="00ED5699">
            <w:pPr>
              <w:numPr>
                <w:ilvl w:val="0"/>
                <w:numId w:val="3"/>
              </w:numPr>
              <w:spacing w:after="0"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6 op</w:t>
            </w:r>
          </w:p>
        </w:tc>
      </w:tr>
      <w:tr w:rsidR="002519A0" w14:paraId="12F5193F" w14:textId="77777777">
        <w:tc>
          <w:tcPr>
            <w:tcW w:w="2122" w:type="dxa"/>
            <w:vAlign w:val="center"/>
          </w:tcPr>
          <w:p w14:paraId="7EDD28DF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(Opinnon tyyppi )</w:t>
            </w:r>
          </w:p>
        </w:tc>
        <w:tc>
          <w:tcPr>
            <w:tcW w:w="7938" w:type="dxa"/>
            <w:vAlign w:val="center"/>
          </w:tcPr>
          <w:p w14:paraId="0575E80E" w14:textId="77777777" w:rsidR="002519A0" w:rsidRDefault="00ED5699">
            <w:pPr>
              <w:numPr>
                <w:ilvl w:val="0"/>
                <w:numId w:val="4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Tämä on pakollinen tieto.</w:t>
            </w:r>
          </w:p>
          <w:p w14:paraId="17540A13" w14:textId="77777777" w:rsidR="002519A0" w:rsidRDefault="00ED5699">
            <w:pPr>
              <w:numPr>
                <w:ilvl w:val="0"/>
                <w:numId w:val="4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 xml:space="preserve">Suurin osa opintojaksoista on tyyppiä "Tavallinen opintojakso". </w:t>
            </w:r>
            <w:hyperlink r:id="rId8">
              <w:r>
                <w:rPr>
                  <w:rFonts w:ascii="Lato" w:eastAsia="Lato" w:hAnsi="Lato" w:cs="Lato"/>
                  <w:color w:val="002957"/>
                  <w:sz w:val="16"/>
                  <w:szCs w:val="16"/>
                </w:rPr>
                <w:t>Lisäohjeita opintojakson tyypin valintaan</w:t>
              </w:r>
            </w:hyperlink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.</w:t>
            </w:r>
          </w:p>
          <w:p w14:paraId="0E133C18" w14:textId="77777777" w:rsidR="002519A0" w:rsidRDefault="00ED5699">
            <w:pPr>
              <w:numPr>
                <w:ilvl w:val="0"/>
                <w:numId w:val="4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Opintojakson tyyppi on raportoinnissa ja tiedonkeruissa tarvittava tieto.</w:t>
            </w:r>
          </w:p>
        </w:tc>
      </w:tr>
      <w:tr w:rsidR="002519A0" w14:paraId="2740276B" w14:textId="77777777">
        <w:tc>
          <w:tcPr>
            <w:tcW w:w="2122" w:type="dxa"/>
            <w:vAlign w:val="center"/>
          </w:tcPr>
          <w:p w14:paraId="5FD64606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(Hakusanat)</w:t>
            </w:r>
          </w:p>
        </w:tc>
        <w:tc>
          <w:tcPr>
            <w:tcW w:w="7938" w:type="dxa"/>
            <w:vAlign w:val="center"/>
          </w:tcPr>
          <w:p w14:paraId="3A49409A" w14:textId="77777777" w:rsidR="002519A0" w:rsidRDefault="00ED5699">
            <w:pPr>
              <w:numPr>
                <w:ilvl w:val="0"/>
                <w:numId w:val="5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Voit määrittää hakusanoja, jotka auttavat opiskelijaa löytämään opintoja.</w:t>
            </w:r>
          </w:p>
        </w:tc>
      </w:tr>
      <w:tr w:rsidR="002519A0" w14:paraId="405E0C6F" w14:textId="77777777">
        <w:tc>
          <w:tcPr>
            <w:tcW w:w="2122" w:type="dxa"/>
            <w:vAlign w:val="center"/>
          </w:tcPr>
          <w:p w14:paraId="6334F4AF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(Opetussuunnitelmakaudet)</w:t>
            </w:r>
          </w:p>
        </w:tc>
        <w:tc>
          <w:tcPr>
            <w:tcW w:w="7938" w:type="dxa"/>
            <w:vAlign w:val="center"/>
          </w:tcPr>
          <w:p w14:paraId="019BBBFD" w14:textId="77777777" w:rsidR="002519A0" w:rsidRDefault="00ED5699">
            <w:pPr>
              <w:numPr>
                <w:ilvl w:val="0"/>
                <w:numId w:val="7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Valitaan kaudet 2020-21, 2021-22, 2022-23.</w:t>
            </w:r>
          </w:p>
          <w:p w14:paraId="4E87874A" w14:textId="77777777" w:rsidR="002519A0" w:rsidRDefault="00ED5699">
            <w:pPr>
              <w:numPr>
                <w:ilvl w:val="0"/>
                <w:numId w:val="7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Tarjoaa automaattisesti seuraavaa vuoden mittaista opetussuunnitelmakautta, muista lisätä kaksi muuta OPS-kautta.</w:t>
            </w:r>
          </w:p>
        </w:tc>
      </w:tr>
      <w:tr w:rsidR="002519A0" w14:paraId="7F7344C1" w14:textId="77777777">
        <w:tc>
          <w:tcPr>
            <w:tcW w:w="2122" w:type="dxa"/>
            <w:vAlign w:val="center"/>
          </w:tcPr>
          <w:p w14:paraId="730FC880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(Vastuuorganisaatiot </w:t>
            </w:r>
            <w:r>
              <w:rPr>
                <w:rFonts w:ascii="Lato" w:eastAsia="Lato" w:hAnsi="Lato" w:cs="Lato"/>
                <w:b/>
                <w:color w:val="212529"/>
                <w:sz w:val="16"/>
                <w:szCs w:val="16"/>
              </w:rPr>
              <w:t>)</w:t>
            </w:r>
          </w:p>
        </w:tc>
        <w:tc>
          <w:tcPr>
            <w:tcW w:w="7938" w:type="dxa"/>
            <w:vAlign w:val="center"/>
          </w:tcPr>
          <w:p w14:paraId="3F8BCFF6" w14:textId="77777777" w:rsidR="002519A0" w:rsidRDefault="00ED5699">
            <w:pPr>
              <w:numPr>
                <w:ilvl w:val="0"/>
                <w:numId w:val="6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Tämä on pakollinen tieto.</w:t>
            </w:r>
          </w:p>
          <w:p w14:paraId="71B5D4C6" w14:textId="77777777" w:rsidR="002519A0" w:rsidRDefault="00ED5699">
            <w:pPr>
              <w:numPr>
                <w:ilvl w:val="0"/>
                <w:numId w:val="6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 xml:space="preserve">Klikkaa sinistä </w:t>
            </w:r>
            <w:r>
              <w:rPr>
                <w:rFonts w:ascii="Lato" w:eastAsia="Lato" w:hAnsi="Lato" w:cs="Lato"/>
                <w:i/>
                <w:color w:val="212529"/>
                <w:sz w:val="16"/>
                <w:szCs w:val="16"/>
              </w:rPr>
              <w:t>+ Lisää organisaatio</w:t>
            </w: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 xml:space="preserve"> -kuvaketta, ja hae opintojakson vastuuorganisaatio </w:t>
            </w:r>
            <w:r>
              <w:rPr>
                <w:rFonts w:ascii="Lato" w:eastAsia="Lato" w:hAnsi="Lato" w:cs="Lato"/>
                <w:i/>
                <w:color w:val="212529"/>
                <w:sz w:val="16"/>
                <w:szCs w:val="16"/>
              </w:rPr>
              <w:t>organisaatio</w:t>
            </w: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-kenttään.</w:t>
            </w:r>
          </w:p>
          <w:p w14:paraId="67B0A9E9" w14:textId="77777777" w:rsidR="002519A0" w:rsidRDefault="00ED5699">
            <w:pPr>
              <w:numPr>
                <w:ilvl w:val="0"/>
                <w:numId w:val="6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Vastuuorganisaatioita voi olla useampi, kunhan jako-osuuksien summa on 100%.</w:t>
            </w:r>
          </w:p>
        </w:tc>
      </w:tr>
      <w:tr w:rsidR="002519A0" w14:paraId="7D91B491" w14:textId="77777777">
        <w:tc>
          <w:tcPr>
            <w:tcW w:w="2122" w:type="dxa"/>
            <w:vAlign w:val="center"/>
          </w:tcPr>
          <w:p w14:paraId="04219CA6" w14:textId="77777777" w:rsidR="002519A0" w:rsidRDefault="00ED5699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Vastuuhenkilöt </w:t>
            </w:r>
          </w:p>
        </w:tc>
        <w:tc>
          <w:tcPr>
            <w:tcW w:w="7938" w:type="dxa"/>
            <w:vAlign w:val="center"/>
          </w:tcPr>
          <w:p w14:paraId="18833B96" w14:textId="77777777" w:rsidR="002519A0" w:rsidRDefault="00ED5699">
            <w:pPr>
              <w:numPr>
                <w:ilvl w:val="0"/>
                <w:numId w:val="8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white"/>
              </w:rPr>
              <w:t>Anssi Lindell</w:t>
            </w:r>
          </w:p>
        </w:tc>
      </w:tr>
      <w:tr w:rsidR="002519A0" w14:paraId="2B8CA84B" w14:textId="77777777">
        <w:tc>
          <w:tcPr>
            <w:tcW w:w="2122" w:type="dxa"/>
            <w:vAlign w:val="center"/>
          </w:tcPr>
          <w:p w14:paraId="59C91F07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(Voimassaoloaika)</w:t>
            </w:r>
          </w:p>
        </w:tc>
        <w:tc>
          <w:tcPr>
            <w:tcW w:w="7938" w:type="dxa"/>
            <w:vAlign w:val="center"/>
          </w:tcPr>
          <w:p w14:paraId="13B82F3B" w14:textId="77777777" w:rsidR="002519A0" w:rsidRDefault="00ED5699">
            <w:pPr>
              <w:numPr>
                <w:ilvl w:val="0"/>
                <w:numId w:val="9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Määrittää, millä aikavälillä opintojakson versiosta voi kirjata suorituksia.</w:t>
            </w:r>
          </w:p>
          <w:p w14:paraId="1BF89C30" w14:textId="77777777" w:rsidR="002519A0" w:rsidRDefault="00ED5699">
            <w:pPr>
              <w:numPr>
                <w:ilvl w:val="0"/>
                <w:numId w:val="9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Jätä päättymispäivämäärä tyhjäksi.</w:t>
            </w:r>
          </w:p>
        </w:tc>
      </w:tr>
      <w:tr w:rsidR="002519A0" w14:paraId="0E978086" w14:textId="77777777">
        <w:tc>
          <w:tcPr>
            <w:tcW w:w="2122" w:type="dxa"/>
            <w:vAlign w:val="center"/>
          </w:tcPr>
          <w:p w14:paraId="4E210A54" w14:textId="77777777" w:rsidR="002519A0" w:rsidRDefault="00ED5699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Vastaavuudet</w:t>
            </w:r>
          </w:p>
        </w:tc>
        <w:tc>
          <w:tcPr>
            <w:tcW w:w="7938" w:type="dxa"/>
            <w:vAlign w:val="center"/>
          </w:tcPr>
          <w:p w14:paraId="52AB3EDD" w14:textId="60CC9606" w:rsidR="002519A0" w:rsidRDefault="002519A0" w:rsidP="00ED5699">
            <w:pPr>
              <w:spacing w:line="240" w:lineRule="auto"/>
              <w:ind w:left="720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</w:p>
        </w:tc>
      </w:tr>
    </w:tbl>
    <w:p w14:paraId="652A5F28" w14:textId="77777777" w:rsidR="002519A0" w:rsidRDefault="00ED5699">
      <w:pPr>
        <w:spacing w:after="280" w:line="240" w:lineRule="auto"/>
        <w:rPr>
          <w:rFonts w:ascii="inherit" w:eastAsia="inherit" w:hAnsi="inherit" w:cs="inherit"/>
          <w:b/>
          <w:color w:val="212529"/>
          <w:sz w:val="27"/>
          <w:szCs w:val="27"/>
        </w:rPr>
      </w:pPr>
      <w:r>
        <w:rPr>
          <w:rFonts w:ascii="inherit" w:eastAsia="inherit" w:hAnsi="inherit" w:cs="inherit"/>
          <w:b/>
          <w:color w:val="212529"/>
          <w:sz w:val="27"/>
          <w:szCs w:val="27"/>
        </w:rPr>
        <w:t>Kuvaukset-välilehti</w:t>
      </w:r>
    </w:p>
    <w:tbl>
      <w:tblPr>
        <w:tblStyle w:val="a0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938"/>
      </w:tblGrid>
      <w:tr w:rsidR="002519A0" w14:paraId="06C395A4" w14:textId="77777777">
        <w:tc>
          <w:tcPr>
            <w:tcW w:w="2122" w:type="dxa"/>
            <w:vAlign w:val="center"/>
          </w:tcPr>
          <w:p w14:paraId="25917081" w14:textId="2BD3C447" w:rsidR="002519A0" w:rsidRDefault="002519A0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25DC12A2" w14:textId="1DC40112" w:rsidR="002519A0" w:rsidRDefault="002519A0" w:rsidP="00ED5699">
            <w:pPr>
              <w:spacing w:line="240" w:lineRule="auto"/>
              <w:rPr>
                <w:rFonts w:ascii="Lato" w:eastAsia="Lato" w:hAnsi="Lato" w:cs="Lato"/>
                <w:color w:val="212529"/>
                <w:sz w:val="24"/>
                <w:szCs w:val="24"/>
              </w:rPr>
            </w:pPr>
          </w:p>
        </w:tc>
      </w:tr>
      <w:tr w:rsidR="002519A0" w14:paraId="3278D015" w14:textId="77777777">
        <w:tc>
          <w:tcPr>
            <w:tcW w:w="2122" w:type="dxa"/>
            <w:vAlign w:val="center"/>
          </w:tcPr>
          <w:p w14:paraId="18505E51" w14:textId="77777777" w:rsidR="002519A0" w:rsidRDefault="00ED5699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Esitiedot</w:t>
            </w:r>
          </w:p>
        </w:tc>
        <w:tc>
          <w:tcPr>
            <w:tcW w:w="7938" w:type="dxa"/>
            <w:vAlign w:val="center"/>
          </w:tcPr>
          <w:p w14:paraId="5E3F0392" w14:textId="77777777" w:rsidR="002519A0" w:rsidRDefault="00ED5699">
            <w:pPr>
              <w:numPr>
                <w:ilvl w:val="0"/>
                <w:numId w:val="23"/>
              </w:num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Ei esitietovaatimuksia.</w:t>
            </w:r>
          </w:p>
        </w:tc>
      </w:tr>
      <w:tr w:rsidR="002519A0" w14:paraId="4FAF38A0" w14:textId="77777777">
        <w:tc>
          <w:tcPr>
            <w:tcW w:w="2122" w:type="dxa"/>
            <w:vAlign w:val="center"/>
          </w:tcPr>
          <w:p w14:paraId="5FD37983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(Pakolliset esitiedot)</w:t>
            </w:r>
          </w:p>
        </w:tc>
        <w:tc>
          <w:tcPr>
            <w:tcW w:w="7938" w:type="dxa"/>
            <w:vAlign w:val="center"/>
          </w:tcPr>
          <w:p w14:paraId="4EE98628" w14:textId="77777777" w:rsidR="002519A0" w:rsidRDefault="00ED5699">
            <w:pPr>
              <w:numPr>
                <w:ilvl w:val="0"/>
                <w:numId w:val="24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Voit määrittää, mi(t)</w:t>
            </w:r>
            <w:proofErr w:type="spellStart"/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kä</w:t>
            </w:r>
            <w:proofErr w:type="spellEnd"/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 xml:space="preserve"> opintojakso(t) pitää olla suoritettuna, jotta opintojakson voi suorittaa.</w:t>
            </w:r>
          </w:p>
          <w:p w14:paraId="6FCC9820" w14:textId="77777777" w:rsidR="002519A0" w:rsidRDefault="00ED5699">
            <w:pPr>
              <w:numPr>
                <w:ilvl w:val="0"/>
                <w:numId w:val="24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Näistä tiedoista pystyy luomaan toteutukselle myös ilmoittautumista määrittävän tekijän. </w:t>
            </w:r>
          </w:p>
          <w:p w14:paraId="16F4FD89" w14:textId="77777777" w:rsidR="002519A0" w:rsidRDefault="00ED5699">
            <w:pPr>
              <w:numPr>
                <w:ilvl w:val="0"/>
                <w:numId w:val="24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Tämä ei automaattisesti tarkoita, että toteutukselle ilmoittautumista rajoitetaan esitiedon perusteella. Esitiedon voi halutessaan asettaa ilmoittautuneiden opiskelijoiden valintakriteeriksi. </w:t>
            </w:r>
          </w:p>
        </w:tc>
      </w:tr>
      <w:tr w:rsidR="002519A0" w14:paraId="402B1380" w14:textId="77777777">
        <w:tc>
          <w:tcPr>
            <w:tcW w:w="2122" w:type="dxa"/>
            <w:vAlign w:val="center"/>
          </w:tcPr>
          <w:p w14:paraId="101C3363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(Suositellut esitiedot)</w:t>
            </w:r>
          </w:p>
        </w:tc>
        <w:tc>
          <w:tcPr>
            <w:tcW w:w="7938" w:type="dxa"/>
            <w:vAlign w:val="center"/>
          </w:tcPr>
          <w:p w14:paraId="24EC079A" w14:textId="77777777" w:rsidR="002519A0" w:rsidRDefault="00ED5699">
            <w:pPr>
              <w:numPr>
                <w:ilvl w:val="0"/>
                <w:numId w:val="25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Voit määrittää, mitä opintojaksoja olisi hyvä olla suoritettuna ennen tämän opintojakson suorittamista.</w:t>
            </w:r>
          </w:p>
          <w:p w14:paraId="0DEC5FFD" w14:textId="77777777" w:rsidR="002519A0" w:rsidRDefault="00ED5699">
            <w:pPr>
              <w:numPr>
                <w:ilvl w:val="0"/>
                <w:numId w:val="25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Tietoa voi käyttää toteutukselle ilmoittautuneiden opiskelijoiden priorisoinnissa.</w:t>
            </w:r>
          </w:p>
        </w:tc>
      </w:tr>
      <w:tr w:rsidR="002519A0" w14:paraId="351D756A" w14:textId="77777777">
        <w:tc>
          <w:tcPr>
            <w:tcW w:w="2122" w:type="dxa"/>
            <w:vAlign w:val="center"/>
          </w:tcPr>
          <w:p w14:paraId="4F97DDE1" w14:textId="77777777" w:rsidR="002519A0" w:rsidRDefault="00ED5699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Osaamistavoitteet</w:t>
            </w:r>
          </w:p>
        </w:tc>
        <w:tc>
          <w:tcPr>
            <w:tcW w:w="7938" w:type="dxa"/>
            <w:vAlign w:val="center"/>
          </w:tcPr>
          <w:p w14:paraId="1027EC6A" w14:textId="77777777" w:rsidR="002519A0" w:rsidRDefault="00ED5699">
            <w:pPr>
              <w:numPr>
                <w:ilvl w:val="0"/>
                <w:numId w:val="26"/>
              </w:numPr>
              <w:spacing w:line="240" w:lineRule="auto"/>
              <w:rPr>
                <w:rFonts w:ascii="Lato" w:eastAsia="Lato" w:hAnsi="Lato" w:cs="Lato"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Opintojakson suoritettuaan opiskelija</w:t>
            </w:r>
          </w:p>
          <w:p w14:paraId="66A552A8" w14:textId="77777777" w:rsidR="002519A0" w:rsidRDefault="00ED5699">
            <w:pPr>
              <w:spacing w:line="240" w:lineRule="auto"/>
              <w:ind w:left="720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lastRenderedPageBreak/>
              <w:t>- kykenee suunnittelemaan, ohjaamaan ja arvioimaan fysiikan, kemian, biologian ja maantiedon oppimista kansallisen perusopetuksen opetussuunnitelman mukaisesti</w:t>
            </w:r>
          </w:p>
          <w:p w14:paraId="6F60E10D" w14:textId="77777777" w:rsidR="002519A0" w:rsidRDefault="00ED5699">
            <w:pPr>
              <w:spacing w:line="240" w:lineRule="auto"/>
              <w:ind w:left="720"/>
              <w:rPr>
                <w:rFonts w:ascii="Lato" w:eastAsia="Lato" w:hAnsi="Lato" w:cs="Lato"/>
                <w:b/>
                <w:color w:val="FF0000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-osaa asettaa ympäristöopin osaamistavoitteita, valita soveltuvia työtapoja näiden saavuttamiseksi ja arvioida tavoitteiden saavuttamista</w:t>
            </w:r>
          </w:p>
          <w:p w14:paraId="79DC27AD" w14:textId="77777777" w:rsidR="00B63B01" w:rsidRDefault="00ED5699" w:rsidP="00B63B01">
            <w:pPr>
              <w:spacing w:line="240" w:lineRule="auto"/>
              <w:ind w:left="720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 xml:space="preserve">- osaa ja haluaa rohkaista </w:t>
            </w:r>
            <w:proofErr w:type="spellStart"/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oppijoita</w:t>
            </w:r>
            <w:proofErr w:type="spellEnd"/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 xml:space="preserve"> havainnoimaan ympäröivää maailmaa, tulkitsemaan havaintojaan ja kommunikoimaan niistä luonnontieteel</w:t>
            </w:r>
            <w:r w:rsidR="0055063A"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lisin perusteluin eri tavoilla</w:t>
            </w:r>
          </w:p>
          <w:p w14:paraId="54A54BF4" w14:textId="356882F0" w:rsidR="0055063A" w:rsidRDefault="00B63B01" w:rsidP="00B63B01">
            <w:pPr>
              <w:spacing w:line="240" w:lineRule="auto"/>
              <w:ind w:left="720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-osaa käyttää ja opettaa poik</w:t>
            </w:r>
            <w:r w:rsidR="002619C0"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kiluonnontieteellisiä periaatteita</w:t>
            </w: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 xml:space="preserve"> </w:t>
            </w:r>
          </w:p>
          <w:p w14:paraId="7FD7877E" w14:textId="77777777" w:rsidR="002519A0" w:rsidRDefault="00ED5699">
            <w:pPr>
              <w:spacing w:line="240" w:lineRule="auto"/>
              <w:ind w:left="720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- ymmärtää luonnontieteellisen tiedon luonnetta</w:t>
            </w:r>
          </w:p>
          <w:p w14:paraId="0A75F393" w14:textId="77777777" w:rsidR="002519A0" w:rsidRDefault="00ED5699">
            <w:pPr>
              <w:spacing w:line="240" w:lineRule="auto"/>
              <w:ind w:left="720"/>
              <w:rPr>
                <w:rFonts w:ascii="Lato" w:eastAsia="Lato" w:hAnsi="Lato" w:cs="Lato"/>
                <w:b/>
                <w:color w:val="FF0000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- osaa suunnitella luonnontieteiden oppimistilanteita, joissa tutkitaan arkipäiväisiä tilanteita ja ongelmia</w:t>
            </w:r>
          </w:p>
          <w:p w14:paraId="6A0DF92F" w14:textId="77777777" w:rsidR="002519A0" w:rsidRDefault="00ED5699">
            <w:pPr>
              <w:spacing w:line="240" w:lineRule="auto"/>
              <w:ind w:left="720"/>
              <w:rPr>
                <w:rFonts w:ascii="Lato" w:eastAsia="Lato" w:hAnsi="Lato" w:cs="Lato"/>
                <w:b/>
                <w:color w:val="FF0000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 xml:space="preserve">- kykenee ohjaamaan </w:t>
            </w:r>
            <w:proofErr w:type="spellStart"/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oppijoita</w:t>
            </w:r>
            <w:proofErr w:type="spellEnd"/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 xml:space="preserve"> tarkastelemaan luonnontieteen yhteyksiä yhteiskuntaan ja sen muutoksiin kestävän kehityksen tavoitteiden mukaisesti</w:t>
            </w:r>
          </w:p>
        </w:tc>
      </w:tr>
      <w:tr w:rsidR="002519A0" w14:paraId="287D31B9" w14:textId="77777777">
        <w:tc>
          <w:tcPr>
            <w:tcW w:w="2122" w:type="dxa"/>
            <w:vAlign w:val="center"/>
          </w:tcPr>
          <w:p w14:paraId="462E2838" w14:textId="77777777" w:rsidR="002519A0" w:rsidRDefault="00ED5699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yellow"/>
              </w:rPr>
              <w:lastRenderedPageBreak/>
              <w:t>Asiasisältö</w:t>
            </w:r>
          </w:p>
        </w:tc>
        <w:tc>
          <w:tcPr>
            <w:tcW w:w="7938" w:type="dxa"/>
            <w:vAlign w:val="center"/>
          </w:tcPr>
          <w:p w14:paraId="6F4C9D3B" w14:textId="77777777" w:rsidR="002519A0" w:rsidRDefault="00ED5699">
            <w:pPr>
              <w:numPr>
                <w:ilvl w:val="0"/>
                <w:numId w:val="16"/>
              </w:numPr>
              <w:spacing w:line="240" w:lineRule="auto"/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Pedagogiseen tutkimukseen ja aktiiviseen oppimiseen perustuvan opetuksen suunnittelu ja oppimisen arviointi. Oppimateriaalien, oppimisympäristöjen ja </w:t>
            </w:r>
            <w:proofErr w:type="spellStart"/>
            <w:r>
              <w:rPr>
                <w:sz w:val="24"/>
                <w:szCs w:val="24"/>
              </w:rPr>
              <w:t>oppijoiden</w:t>
            </w:r>
            <w:proofErr w:type="spellEnd"/>
            <w:r>
              <w:rPr>
                <w:sz w:val="24"/>
                <w:szCs w:val="24"/>
              </w:rPr>
              <w:t xml:space="preserve"> yhteisöjen tarkastelu. Ympäristöopin ilmiöiden tutkiminen havaintojen, aineistojen ja suunniteltujen kokeiden avulla. Erilaisten luonnontieteellisten mallien rakentaminen ja soveltaminen sekä niiden pätevyyden ja käytön arviointi. Tiede- ja ympäristökasvatuksen yhteiskunnallisen merkityksen ymmärtäminen ympäristöä koskevien päätösten tekemisessä ja arvioinnissa.</w:t>
            </w:r>
          </w:p>
          <w:p w14:paraId="6938D52B" w14:textId="77777777" w:rsidR="002519A0" w:rsidRDefault="00ED5699">
            <w:pPr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Tutustutaan koulun ulkopuolisiin tiede- ja ympäristökasvatusta tarjoaviin toimijoihin ja yhteistyömahdollisuuksiin, esimerkiksi LUMA-toimintaan. </w:t>
            </w:r>
          </w:p>
          <w:p w14:paraId="0212DB8C" w14:textId="2333EC0E" w:rsidR="002519A0" w:rsidRPr="00ED5699" w:rsidRDefault="00ED5699" w:rsidP="00ED5699">
            <w:pPr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Pedagoginen osaaminen, tieteellinen osaaminen, yhteisöllinen ja yhteiskunnallinen osaaminen, eettinen osaaminen</w:t>
            </w:r>
          </w:p>
        </w:tc>
      </w:tr>
      <w:tr w:rsidR="002519A0" w14:paraId="7766915F" w14:textId="77777777">
        <w:tc>
          <w:tcPr>
            <w:tcW w:w="2122" w:type="dxa"/>
            <w:vAlign w:val="center"/>
          </w:tcPr>
          <w:p w14:paraId="65E951F6" w14:textId="77777777" w:rsidR="002519A0" w:rsidRDefault="00ED5699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yellow"/>
              </w:rPr>
              <w:t>Lisätiedot</w:t>
            </w:r>
          </w:p>
        </w:tc>
        <w:tc>
          <w:tcPr>
            <w:tcW w:w="7938" w:type="dxa"/>
            <w:vAlign w:val="center"/>
          </w:tcPr>
          <w:p w14:paraId="59897772" w14:textId="0DE7D31F" w:rsidR="00355E2C" w:rsidRDefault="00355E2C">
            <w:pPr>
              <w:numPr>
                <w:ilvl w:val="0"/>
                <w:numId w:val="17"/>
              </w:numPr>
              <w:spacing w:after="0"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yellow"/>
              </w:rPr>
            </w:pPr>
            <w:r>
              <w:t>varhennettu kielenopetus</w:t>
            </w:r>
            <w:bookmarkStart w:id="0" w:name="_GoBack"/>
            <w:bookmarkEnd w:id="0"/>
          </w:p>
          <w:p w14:paraId="42FA2D59" w14:textId="126576C1" w:rsidR="002519A0" w:rsidRDefault="00ED5699">
            <w:pPr>
              <w:numPr>
                <w:ilvl w:val="0"/>
                <w:numId w:val="17"/>
              </w:numPr>
              <w:spacing w:after="0"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yellow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yellow"/>
              </w:rPr>
              <w:t>Kaikki muu tieto, jolle ei löydy omaa kenttää.</w:t>
            </w:r>
          </w:p>
          <w:p w14:paraId="12AA8727" w14:textId="77777777" w:rsidR="002519A0" w:rsidRDefault="00ED5699">
            <w:pPr>
              <w:numPr>
                <w:ilvl w:val="0"/>
                <w:numId w:val="17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color w:val="212529"/>
                <w:sz w:val="24"/>
                <w:szCs w:val="24"/>
              </w:rPr>
              <w:t xml:space="preserve">Kentän teksti näkyy opiskelijalle opintojaksoesitteen </w:t>
            </w:r>
            <w:r>
              <w:rPr>
                <w:rFonts w:ascii="Lato" w:eastAsia="Lato" w:hAnsi="Lato" w:cs="Lato"/>
                <w:i/>
                <w:color w:val="212529"/>
                <w:sz w:val="24"/>
                <w:szCs w:val="24"/>
              </w:rPr>
              <w:t>Esite</w:t>
            </w:r>
            <w:r>
              <w:rPr>
                <w:rFonts w:ascii="Lato" w:eastAsia="Lato" w:hAnsi="Lato" w:cs="Lato"/>
                <w:color w:val="212529"/>
                <w:sz w:val="24"/>
                <w:szCs w:val="24"/>
              </w:rPr>
              <w:t xml:space="preserve">-välilehdellä kohdassa </w:t>
            </w:r>
            <w:r>
              <w:rPr>
                <w:rFonts w:ascii="Lato" w:eastAsia="Lato" w:hAnsi="Lato" w:cs="Lato"/>
                <w:i/>
                <w:color w:val="212529"/>
                <w:sz w:val="24"/>
                <w:szCs w:val="24"/>
              </w:rPr>
              <w:t>Kuvaus</w:t>
            </w:r>
            <w:r>
              <w:rPr>
                <w:rFonts w:ascii="Lato" w:eastAsia="Lato" w:hAnsi="Lato" w:cs="Lato"/>
                <w:color w:val="212529"/>
                <w:sz w:val="24"/>
                <w:szCs w:val="24"/>
              </w:rPr>
              <w:t>.</w:t>
            </w:r>
          </w:p>
          <w:p w14:paraId="330F9226" w14:textId="77777777" w:rsidR="002519A0" w:rsidRDefault="00ED5699">
            <w:pPr>
              <w:numPr>
                <w:ilvl w:val="0"/>
                <w:numId w:val="17"/>
              </w:numPr>
              <w:spacing w:line="240" w:lineRule="auto"/>
              <w:rPr>
                <w:rFonts w:ascii="Lato" w:eastAsia="Lato" w:hAnsi="Lato" w:cs="Lato"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color w:val="212529"/>
                <w:sz w:val="24"/>
                <w:szCs w:val="24"/>
              </w:rPr>
              <w:t xml:space="preserve">Kenttään mahtuu </w:t>
            </w:r>
            <w:proofErr w:type="spellStart"/>
            <w:r>
              <w:rPr>
                <w:rFonts w:ascii="Lato" w:eastAsia="Lato" w:hAnsi="Lato" w:cs="Lato"/>
                <w:color w:val="212529"/>
                <w:sz w:val="24"/>
                <w:szCs w:val="24"/>
              </w:rPr>
              <w:t>maks</w:t>
            </w:r>
            <w:proofErr w:type="spellEnd"/>
            <w:r>
              <w:rPr>
                <w:rFonts w:ascii="Lato" w:eastAsia="Lato" w:hAnsi="Lato" w:cs="Lato"/>
                <w:color w:val="212529"/>
                <w:sz w:val="24"/>
                <w:szCs w:val="24"/>
              </w:rPr>
              <w:t>. 65000 merkkiä.</w:t>
            </w:r>
          </w:p>
        </w:tc>
      </w:tr>
      <w:tr w:rsidR="002519A0" w14:paraId="60A85EF5" w14:textId="77777777">
        <w:tc>
          <w:tcPr>
            <w:tcW w:w="2122" w:type="dxa"/>
            <w:vAlign w:val="center"/>
          </w:tcPr>
          <w:p w14:paraId="34E3D3FC" w14:textId="77777777" w:rsidR="002519A0" w:rsidRDefault="00ED5699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yellow"/>
              </w:rPr>
              <w:t>Oppimateriaalit</w:t>
            </w:r>
          </w:p>
        </w:tc>
        <w:tc>
          <w:tcPr>
            <w:tcW w:w="7938" w:type="dxa"/>
            <w:vAlign w:val="center"/>
          </w:tcPr>
          <w:p w14:paraId="0828C3ED" w14:textId="77777777" w:rsidR="002519A0" w:rsidRDefault="00355E2C">
            <w:pPr>
              <w:numPr>
                <w:ilvl w:val="0"/>
                <w:numId w:val="18"/>
              </w:numPr>
              <w:spacing w:line="240" w:lineRule="auto"/>
              <w:rPr>
                <w:rFonts w:ascii="Lato" w:eastAsia="Lato" w:hAnsi="Lato" w:cs="Lato"/>
                <w:color w:val="212529"/>
                <w:sz w:val="24"/>
                <w:szCs w:val="24"/>
              </w:rPr>
            </w:pPr>
            <w:hyperlink r:id="rId9">
              <w:r w:rsidR="00ED5699">
                <w:rPr>
                  <w:rFonts w:ascii="Lato" w:eastAsia="Lato" w:hAnsi="Lato" w:cs="Lato"/>
                  <w:color w:val="1155CC"/>
                  <w:sz w:val="24"/>
                  <w:szCs w:val="24"/>
                  <w:u w:val="single"/>
                </w:rPr>
                <w:t>https://www.ykliitto.fi/yk-teemat/kestava-kehitys/kestavan-kehityksen-tavoitteet</w:t>
              </w:r>
            </w:hyperlink>
          </w:p>
          <w:p w14:paraId="2394AEE0" w14:textId="5186AA1F" w:rsidR="002519A0" w:rsidRPr="0055063A" w:rsidRDefault="00355E2C" w:rsidP="0055063A">
            <w:pPr>
              <w:numPr>
                <w:ilvl w:val="0"/>
                <w:numId w:val="18"/>
              </w:numPr>
              <w:spacing w:line="240" w:lineRule="auto"/>
              <w:rPr>
                <w:rFonts w:ascii="Lato" w:eastAsia="Lato" w:hAnsi="Lato" w:cs="Lato"/>
                <w:color w:val="212529"/>
                <w:sz w:val="24"/>
                <w:szCs w:val="24"/>
              </w:rPr>
            </w:pPr>
            <w:hyperlink r:id="rId10">
              <w:r w:rsidR="00ED5699">
                <w:rPr>
                  <w:rFonts w:ascii="Lato" w:eastAsia="Lato" w:hAnsi="Lato" w:cs="Lato"/>
                  <w:color w:val="1155CC"/>
                  <w:sz w:val="24"/>
                  <w:szCs w:val="24"/>
                  <w:u w:val="single"/>
                </w:rPr>
                <w:t>https://science.iit.edu/mathematics-science-education/resources/lederman-depository</w:t>
              </w:r>
            </w:hyperlink>
          </w:p>
          <w:p w14:paraId="16C219F8" w14:textId="77777777" w:rsidR="002519A0" w:rsidRPr="0055063A" w:rsidRDefault="00355E2C">
            <w:pPr>
              <w:numPr>
                <w:ilvl w:val="0"/>
                <w:numId w:val="18"/>
              </w:numPr>
              <w:spacing w:line="240" w:lineRule="auto"/>
              <w:rPr>
                <w:rFonts w:ascii="Lato" w:eastAsia="Lato" w:hAnsi="Lato" w:cs="Lato"/>
                <w:color w:val="212529"/>
                <w:sz w:val="24"/>
                <w:szCs w:val="24"/>
              </w:rPr>
            </w:pPr>
            <w:hyperlink r:id="rId11">
              <w:r w:rsidR="00ED5699">
                <w:rPr>
                  <w:rFonts w:ascii="Lato" w:eastAsia="Lato" w:hAnsi="Lato" w:cs="Lato"/>
                  <w:color w:val="1155CC"/>
                  <w:sz w:val="24"/>
                  <w:szCs w:val="24"/>
                  <w:u w:val="single"/>
                </w:rPr>
                <w:t>http://www.tieteentiedotus.fi/files/Tiedebarometri_2019.pdf</w:t>
              </w:r>
            </w:hyperlink>
          </w:p>
          <w:p w14:paraId="1A058412" w14:textId="7162B98E" w:rsidR="0055063A" w:rsidRPr="0055063A" w:rsidRDefault="0055063A" w:rsidP="0055063A">
            <w:pPr>
              <w:numPr>
                <w:ilvl w:val="0"/>
                <w:numId w:val="18"/>
              </w:numPr>
              <w:spacing w:line="240" w:lineRule="auto"/>
              <w:rPr>
                <w:rFonts w:ascii="Lato" w:eastAsia="Lato" w:hAnsi="Lato" w:cs="Lato"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color w:val="212529"/>
                <w:sz w:val="24"/>
                <w:szCs w:val="24"/>
                <w:highlight w:val="white"/>
              </w:rPr>
              <w:t>Erikseen sovittava oppimateriaali.</w:t>
            </w:r>
          </w:p>
        </w:tc>
      </w:tr>
      <w:tr w:rsidR="002519A0" w14:paraId="14D77CB4" w14:textId="77777777">
        <w:tc>
          <w:tcPr>
            <w:tcW w:w="2122" w:type="dxa"/>
            <w:vAlign w:val="center"/>
          </w:tcPr>
          <w:p w14:paraId="364FD497" w14:textId="77777777" w:rsidR="002519A0" w:rsidRDefault="00ED5699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yellow"/>
              </w:rPr>
              <w:lastRenderedPageBreak/>
              <w:t>Kirjallisuus</w:t>
            </w:r>
          </w:p>
        </w:tc>
        <w:tc>
          <w:tcPr>
            <w:tcW w:w="7938" w:type="dxa"/>
            <w:vAlign w:val="center"/>
          </w:tcPr>
          <w:p w14:paraId="58677A9B" w14:textId="77777777" w:rsidR="002519A0" w:rsidRDefault="00ED5699">
            <w:pPr>
              <w:numPr>
                <w:ilvl w:val="0"/>
                <w:numId w:val="19"/>
              </w:numPr>
              <w:spacing w:after="0" w:line="240" w:lineRule="auto"/>
            </w:pPr>
            <w:proofErr w:type="spellStart"/>
            <w:r w:rsidRPr="00F04CD4">
              <w:rPr>
                <w:lang w:val="en-GB"/>
              </w:rPr>
              <w:t>Harlen</w:t>
            </w:r>
            <w:proofErr w:type="spellEnd"/>
            <w:r w:rsidRPr="00F04CD4">
              <w:rPr>
                <w:lang w:val="en-GB"/>
              </w:rPr>
              <w:t xml:space="preserve">, Wynne &amp; </w:t>
            </w:r>
            <w:proofErr w:type="spellStart"/>
            <w:r w:rsidRPr="00F04CD4">
              <w:rPr>
                <w:lang w:val="en-GB"/>
              </w:rPr>
              <w:t>Qualter</w:t>
            </w:r>
            <w:proofErr w:type="spellEnd"/>
            <w:r w:rsidRPr="00F04CD4">
              <w:rPr>
                <w:lang w:val="en-GB"/>
              </w:rPr>
              <w:t xml:space="preserve">, Anne (2018). </w:t>
            </w:r>
            <w:r w:rsidRPr="00F04CD4">
              <w:rPr>
                <w:i/>
                <w:lang w:val="en-GB"/>
              </w:rPr>
              <w:t>The Teaching of Science in Primary Schools</w:t>
            </w:r>
            <w:r w:rsidRPr="00F04CD4">
              <w:rPr>
                <w:lang w:val="en-GB"/>
              </w:rPr>
              <w:t xml:space="preserve">. </w:t>
            </w:r>
            <w:r>
              <w:t xml:space="preserve">David </w:t>
            </w:r>
            <w:proofErr w:type="spellStart"/>
            <w:r>
              <w:t>Fulton</w:t>
            </w:r>
            <w:proofErr w:type="spellEnd"/>
            <w:r>
              <w:t xml:space="preserve"> </w:t>
            </w:r>
            <w:proofErr w:type="spellStart"/>
            <w:r>
              <w:t>Publishers</w:t>
            </w:r>
            <w:proofErr w:type="spellEnd"/>
            <w:r>
              <w:t>. 7</w:t>
            </w:r>
            <w:r>
              <w:rPr>
                <w:vertAlign w:val="superscript"/>
              </w:rPr>
              <w:t>th</w:t>
            </w:r>
            <w:r>
              <w:t xml:space="preserve"> edition https://doi.org/10.4324/9781315398907</w:t>
            </w:r>
          </w:p>
        </w:tc>
      </w:tr>
      <w:tr w:rsidR="002519A0" w14:paraId="603C3760" w14:textId="77777777">
        <w:tc>
          <w:tcPr>
            <w:tcW w:w="2122" w:type="dxa"/>
            <w:vAlign w:val="center"/>
          </w:tcPr>
          <w:p w14:paraId="29D7CA8D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</w:t>
            </w:r>
            <w:proofErr w:type="spellStart"/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Hyväksilukuohjeet</w:t>
            </w:r>
            <w:proofErr w:type="spellEnd"/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)</w:t>
            </w:r>
          </w:p>
        </w:tc>
        <w:tc>
          <w:tcPr>
            <w:tcW w:w="7938" w:type="dxa"/>
            <w:vAlign w:val="center"/>
          </w:tcPr>
          <w:p w14:paraId="56824FCC" w14:textId="77777777" w:rsidR="002519A0" w:rsidRDefault="00ED5699">
            <w:pPr>
              <w:numPr>
                <w:ilvl w:val="0"/>
                <w:numId w:val="20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Tämä kenttä ei ole Jyväskylän yliopistossa käytössä, sillä AHOT-prosessia ei vielä hoideta Sisussa.</w:t>
            </w:r>
          </w:p>
        </w:tc>
      </w:tr>
    </w:tbl>
    <w:p w14:paraId="012537CB" w14:textId="77777777" w:rsidR="002519A0" w:rsidRDefault="002519A0">
      <w:pPr>
        <w:spacing w:after="280" w:line="240" w:lineRule="auto"/>
        <w:rPr>
          <w:rFonts w:ascii="inherit" w:eastAsia="inherit" w:hAnsi="inherit" w:cs="inherit"/>
          <w:b/>
          <w:color w:val="212529"/>
          <w:sz w:val="27"/>
          <w:szCs w:val="27"/>
        </w:rPr>
      </w:pPr>
    </w:p>
    <w:p w14:paraId="0BDA1907" w14:textId="77777777" w:rsidR="002519A0" w:rsidRDefault="00ED5699">
      <w:pPr>
        <w:spacing w:after="280" w:line="240" w:lineRule="auto"/>
        <w:rPr>
          <w:rFonts w:ascii="inherit" w:eastAsia="inherit" w:hAnsi="inherit" w:cs="inherit"/>
          <w:b/>
          <w:color w:val="212529"/>
          <w:sz w:val="27"/>
          <w:szCs w:val="27"/>
        </w:rPr>
      </w:pPr>
      <w:r>
        <w:rPr>
          <w:rFonts w:ascii="inherit" w:eastAsia="inherit" w:hAnsi="inherit" w:cs="inherit"/>
          <w:b/>
          <w:color w:val="212529"/>
          <w:sz w:val="27"/>
          <w:szCs w:val="27"/>
        </w:rPr>
        <w:t>Luokittelu-välilehti</w:t>
      </w:r>
    </w:p>
    <w:tbl>
      <w:tblPr>
        <w:tblStyle w:val="a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938"/>
      </w:tblGrid>
      <w:tr w:rsidR="002519A0" w14:paraId="7EBD1E7A" w14:textId="77777777">
        <w:tc>
          <w:tcPr>
            <w:tcW w:w="2122" w:type="dxa"/>
            <w:vAlign w:val="center"/>
          </w:tcPr>
          <w:p w14:paraId="48FED073" w14:textId="77777777" w:rsidR="002519A0" w:rsidRDefault="00ED5699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yellow"/>
              </w:rPr>
              <w:t>Mahdolliset suorituskielet</w:t>
            </w: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14:paraId="0BDB7FA9" w14:textId="77777777" w:rsidR="002519A0" w:rsidRDefault="00ED5699">
            <w:pPr>
              <w:numPr>
                <w:ilvl w:val="0"/>
                <w:numId w:val="21"/>
              </w:numPr>
              <w:spacing w:line="240" w:lineRule="auto"/>
              <w:rPr>
                <w:rFonts w:ascii="Lato" w:eastAsia="Lato" w:hAnsi="Lato" w:cs="Lato"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color w:val="212529"/>
                <w:sz w:val="24"/>
                <w:szCs w:val="24"/>
              </w:rPr>
              <w:t>Suomi</w:t>
            </w:r>
          </w:p>
        </w:tc>
      </w:tr>
      <w:tr w:rsidR="002519A0" w14:paraId="3BAE6315" w14:textId="77777777">
        <w:tc>
          <w:tcPr>
            <w:tcW w:w="2122" w:type="dxa"/>
            <w:vAlign w:val="center"/>
          </w:tcPr>
          <w:p w14:paraId="38473558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(Koulutusalat</w:t>
            </w:r>
            <w:r>
              <w:rPr>
                <w:rFonts w:ascii="Lato" w:eastAsia="Lato" w:hAnsi="Lato" w:cs="Lato"/>
                <w:b/>
                <w:color w:val="212529"/>
                <w:sz w:val="16"/>
                <w:szCs w:val="16"/>
              </w:rPr>
              <w:t>)</w:t>
            </w:r>
          </w:p>
        </w:tc>
        <w:tc>
          <w:tcPr>
            <w:tcW w:w="7938" w:type="dxa"/>
            <w:vAlign w:val="center"/>
          </w:tcPr>
          <w:p w14:paraId="1ED630BC" w14:textId="77777777" w:rsidR="002519A0" w:rsidRDefault="00ED5699">
            <w:pPr>
              <w:numPr>
                <w:ilvl w:val="0"/>
                <w:numId w:val="13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Tämä on pakollinen tieto.</w:t>
            </w:r>
          </w:p>
          <w:p w14:paraId="1A1865E1" w14:textId="77777777" w:rsidR="002519A0" w:rsidRDefault="00ED5699">
            <w:pPr>
              <w:numPr>
                <w:ilvl w:val="0"/>
                <w:numId w:val="13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Valitse valikosta ohjauksen ala.</w:t>
            </w:r>
          </w:p>
          <w:p w14:paraId="35092A74" w14:textId="77777777" w:rsidR="002519A0" w:rsidRDefault="00ED5699">
            <w:pPr>
              <w:numPr>
                <w:ilvl w:val="0"/>
                <w:numId w:val="13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Ohjausala on raportoinnissa ja tiedonkeruissa tarvittava tieto.</w:t>
            </w:r>
          </w:p>
        </w:tc>
      </w:tr>
      <w:tr w:rsidR="002519A0" w14:paraId="07CB2026" w14:textId="77777777">
        <w:tc>
          <w:tcPr>
            <w:tcW w:w="2122" w:type="dxa"/>
            <w:vAlign w:val="center"/>
          </w:tcPr>
          <w:p w14:paraId="2C1BE649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(Opintojakson taso)</w:t>
            </w:r>
          </w:p>
        </w:tc>
        <w:tc>
          <w:tcPr>
            <w:tcW w:w="7938" w:type="dxa"/>
            <w:vAlign w:val="center"/>
          </w:tcPr>
          <w:p w14:paraId="455E4733" w14:textId="77777777" w:rsidR="002519A0" w:rsidRDefault="00ED5699">
            <w:pPr>
              <w:numPr>
                <w:ilvl w:val="0"/>
                <w:numId w:val="14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Tämä on pakollinen tieto.</w:t>
            </w:r>
          </w:p>
          <w:p w14:paraId="4CDE50B5" w14:textId="77777777" w:rsidR="002519A0" w:rsidRDefault="00ED5699">
            <w:pPr>
              <w:numPr>
                <w:ilvl w:val="0"/>
                <w:numId w:val="14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Valitse opintojakson taso pudotusvalikosta, jossa vaihtoehtoina ovat: Perusopinnot, Aineopinnot, Syventävät opinnot, Jatko-opinnot, Muut opinnot.</w:t>
            </w:r>
          </w:p>
        </w:tc>
      </w:tr>
      <w:tr w:rsidR="002519A0" w14:paraId="6CEC218F" w14:textId="77777777">
        <w:tc>
          <w:tcPr>
            <w:tcW w:w="2122" w:type="dxa"/>
            <w:vAlign w:val="center"/>
          </w:tcPr>
          <w:p w14:paraId="169D16F7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(CEFR-taso)</w:t>
            </w:r>
          </w:p>
        </w:tc>
        <w:tc>
          <w:tcPr>
            <w:tcW w:w="7938" w:type="dxa"/>
            <w:vAlign w:val="center"/>
          </w:tcPr>
          <w:p w14:paraId="2386CE4F" w14:textId="77777777" w:rsidR="002519A0" w:rsidRDefault="00ED5699">
            <w:pPr>
              <w:numPr>
                <w:ilvl w:val="0"/>
                <w:numId w:val="15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 xml:space="preserve">Voit valita opintojakson </w:t>
            </w:r>
            <w:proofErr w:type="gramStart"/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Eurooppalaisen</w:t>
            </w:r>
            <w:proofErr w:type="gramEnd"/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 xml:space="preserve"> viitekehyksen mukaisen kielitaitotason.</w:t>
            </w:r>
          </w:p>
          <w:p w14:paraId="05A5789B" w14:textId="77777777" w:rsidR="002519A0" w:rsidRDefault="00ED5699">
            <w:pPr>
              <w:numPr>
                <w:ilvl w:val="0"/>
                <w:numId w:val="15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Oleellinen viestintä- ja kieliopinnoissa.</w:t>
            </w:r>
          </w:p>
          <w:p w14:paraId="381085DC" w14:textId="77777777" w:rsidR="002519A0" w:rsidRDefault="00ED5699">
            <w:pPr>
              <w:numPr>
                <w:ilvl w:val="0"/>
                <w:numId w:val="15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 xml:space="preserve">Tämä näkyy opiskelijalle opintojaksoesitteen </w:t>
            </w:r>
            <w:r>
              <w:rPr>
                <w:rFonts w:ascii="Lato" w:eastAsia="Lato" w:hAnsi="Lato" w:cs="Lato"/>
                <w:i/>
                <w:color w:val="212529"/>
                <w:sz w:val="16"/>
                <w:szCs w:val="16"/>
              </w:rPr>
              <w:t>Perustiedot</w:t>
            </w: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-välilehdellä kohdassa </w:t>
            </w:r>
            <w:r>
              <w:rPr>
                <w:rFonts w:ascii="Lato" w:eastAsia="Lato" w:hAnsi="Lato" w:cs="Lato"/>
                <w:i/>
                <w:color w:val="212529"/>
                <w:sz w:val="16"/>
                <w:szCs w:val="16"/>
              </w:rPr>
              <w:t>Luokittelu</w:t>
            </w: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.</w:t>
            </w:r>
          </w:p>
        </w:tc>
      </w:tr>
    </w:tbl>
    <w:p w14:paraId="39D06695" w14:textId="77777777" w:rsidR="002519A0" w:rsidRDefault="00ED5699">
      <w:pPr>
        <w:spacing w:after="280" w:line="240" w:lineRule="auto"/>
        <w:rPr>
          <w:rFonts w:ascii="inherit" w:eastAsia="inherit" w:hAnsi="inherit" w:cs="inherit"/>
          <w:b/>
          <w:color w:val="212529"/>
          <w:sz w:val="27"/>
          <w:szCs w:val="27"/>
        </w:rPr>
      </w:pPr>
      <w:r>
        <w:rPr>
          <w:rFonts w:ascii="inherit" w:eastAsia="inherit" w:hAnsi="inherit" w:cs="inherit"/>
          <w:b/>
          <w:color w:val="212529"/>
          <w:sz w:val="27"/>
          <w:szCs w:val="27"/>
        </w:rPr>
        <w:t>Suoritustavat ja arviointikohteet -välilehdet</w:t>
      </w:r>
    </w:p>
    <w:p w14:paraId="41D03D43" w14:textId="15FBA833" w:rsidR="0079416E" w:rsidRDefault="0079416E">
      <w:pPr>
        <w:spacing w:after="280" w:line="240" w:lineRule="auto"/>
        <w:rPr>
          <w:rFonts w:ascii="Lato" w:eastAsia="Lato" w:hAnsi="Lato" w:cs="Lato"/>
          <w:b/>
          <w:color w:val="212529"/>
          <w:sz w:val="24"/>
          <w:szCs w:val="24"/>
          <w:highlight w:val="yellow"/>
        </w:rPr>
      </w:pPr>
      <w:r>
        <w:rPr>
          <w:rFonts w:ascii="Lato" w:eastAsia="Lato" w:hAnsi="Lato" w:cs="Lato"/>
          <w:b/>
          <w:color w:val="212529"/>
          <w:sz w:val="24"/>
          <w:szCs w:val="24"/>
        </w:rPr>
        <w:t>Luennot, harjoitukset, oppimistehtävä</w:t>
      </w:r>
      <w:r w:rsidR="00ED5699">
        <w:rPr>
          <w:rFonts w:ascii="Lato" w:eastAsia="Lato" w:hAnsi="Lato" w:cs="Lato"/>
          <w:b/>
          <w:color w:val="212529"/>
          <w:sz w:val="24"/>
          <w:szCs w:val="24"/>
        </w:rPr>
        <w:t>t</w:t>
      </w:r>
      <w:r>
        <w:rPr>
          <w:rFonts w:ascii="Lato" w:eastAsia="Lato" w:hAnsi="Lato" w:cs="Lato"/>
          <w:b/>
          <w:color w:val="212529"/>
          <w:sz w:val="24"/>
          <w:szCs w:val="24"/>
        </w:rPr>
        <w:t xml:space="preserve"> ja tentti. K</w:t>
      </w:r>
      <w:r w:rsidRPr="0079416E">
        <w:rPr>
          <w:rFonts w:ascii="Lato" w:eastAsia="Lato" w:hAnsi="Lato" w:cs="Lato"/>
          <w:b/>
          <w:color w:val="212529"/>
          <w:sz w:val="24"/>
          <w:szCs w:val="24"/>
        </w:rPr>
        <w:t>urss</w:t>
      </w:r>
      <w:r>
        <w:rPr>
          <w:rFonts w:ascii="Lato" w:eastAsia="Lato" w:hAnsi="Lato" w:cs="Lato"/>
          <w:b/>
          <w:color w:val="212529"/>
          <w:sz w:val="24"/>
          <w:szCs w:val="24"/>
        </w:rPr>
        <w:t>illa voidaan hyödyntää vaihtelevia</w:t>
      </w:r>
      <w:r w:rsidRPr="0079416E">
        <w:rPr>
          <w:rFonts w:ascii="Lato" w:eastAsia="Lato" w:hAnsi="Lato" w:cs="Lato"/>
          <w:b/>
          <w:color w:val="212529"/>
          <w:sz w:val="24"/>
          <w:szCs w:val="24"/>
        </w:rPr>
        <w:t xml:space="preserve"> työtapoja </w:t>
      </w:r>
      <w:r>
        <w:rPr>
          <w:rFonts w:ascii="Lato" w:eastAsia="Lato" w:hAnsi="Lato" w:cs="Lato"/>
          <w:b/>
          <w:color w:val="212529"/>
          <w:sz w:val="24"/>
          <w:szCs w:val="24"/>
        </w:rPr>
        <w:t>tai oppimisympäristöjä</w:t>
      </w:r>
    </w:p>
    <w:p w14:paraId="07EBFDE9" w14:textId="77777777" w:rsidR="002519A0" w:rsidRDefault="00ED5699">
      <w:pPr>
        <w:spacing w:line="240" w:lineRule="auto"/>
        <w:rPr>
          <w:rFonts w:ascii="Lato" w:eastAsia="Lato" w:hAnsi="Lato" w:cs="Lato"/>
          <w:b/>
          <w:color w:val="212529"/>
          <w:sz w:val="24"/>
          <w:szCs w:val="24"/>
          <w:highlight w:val="yellow"/>
        </w:rPr>
      </w:pPr>
      <w:r>
        <w:rPr>
          <w:rFonts w:ascii="Lato" w:eastAsia="Lato" w:hAnsi="Lato" w:cs="Lato"/>
          <w:b/>
          <w:color w:val="212529"/>
          <w:sz w:val="24"/>
          <w:szCs w:val="24"/>
          <w:highlight w:val="yellow"/>
        </w:rPr>
        <w:t>Suoritustapojen ja arviointikohteiden määrittelemisestä tulee lisäohjeita ja koulutusta syksyn aikana.</w:t>
      </w:r>
    </w:p>
    <w:sectPr w:rsidR="002519A0">
      <w:headerReference w:type="default" r:id="rId12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054DC" w14:textId="77777777" w:rsidR="008E2878" w:rsidRDefault="00ED5699">
      <w:pPr>
        <w:spacing w:after="0" w:line="240" w:lineRule="auto"/>
      </w:pPr>
      <w:r>
        <w:separator/>
      </w:r>
    </w:p>
  </w:endnote>
  <w:endnote w:type="continuationSeparator" w:id="0">
    <w:p w14:paraId="4B1F7048" w14:textId="77777777" w:rsidR="008E2878" w:rsidRDefault="00ED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0D150" w14:textId="77777777" w:rsidR="008E2878" w:rsidRDefault="00ED5699">
      <w:pPr>
        <w:spacing w:after="0" w:line="240" w:lineRule="auto"/>
      </w:pPr>
      <w:r>
        <w:separator/>
      </w:r>
    </w:p>
  </w:footnote>
  <w:footnote w:type="continuationSeparator" w:id="0">
    <w:p w14:paraId="12E7923B" w14:textId="77777777" w:rsidR="008E2878" w:rsidRDefault="00ED5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3BD47" w14:textId="468903BB" w:rsidR="002519A0" w:rsidRDefault="00ED56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55E2C">
      <w:rPr>
        <w:noProof/>
        <w:color w:val="000000"/>
      </w:rPr>
      <w:t>3</w:t>
    </w:r>
    <w:r>
      <w:rPr>
        <w:color w:val="000000"/>
      </w:rPr>
      <w:fldChar w:fldCharType="end"/>
    </w:r>
  </w:p>
  <w:p w14:paraId="372116E6" w14:textId="77777777" w:rsidR="002519A0" w:rsidRDefault="002519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7EE"/>
    <w:multiLevelType w:val="multilevel"/>
    <w:tmpl w:val="E0384C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1500703"/>
    <w:multiLevelType w:val="multilevel"/>
    <w:tmpl w:val="770808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2326D38"/>
    <w:multiLevelType w:val="multilevel"/>
    <w:tmpl w:val="9D7AD1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84276FE"/>
    <w:multiLevelType w:val="multilevel"/>
    <w:tmpl w:val="9B905D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97634B1"/>
    <w:multiLevelType w:val="multilevel"/>
    <w:tmpl w:val="3C5CE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A7C5ECA"/>
    <w:multiLevelType w:val="multilevel"/>
    <w:tmpl w:val="6BAE4C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0A8C521F"/>
    <w:multiLevelType w:val="multilevel"/>
    <w:tmpl w:val="822662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0B7F49A8"/>
    <w:multiLevelType w:val="multilevel"/>
    <w:tmpl w:val="EF82E3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0E7C6B8D"/>
    <w:multiLevelType w:val="multilevel"/>
    <w:tmpl w:val="810413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091405C"/>
    <w:multiLevelType w:val="multilevel"/>
    <w:tmpl w:val="76284C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12FF6428"/>
    <w:multiLevelType w:val="multilevel"/>
    <w:tmpl w:val="482042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2157452C"/>
    <w:multiLevelType w:val="multilevel"/>
    <w:tmpl w:val="E48C54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28D80F4A"/>
    <w:multiLevelType w:val="multilevel"/>
    <w:tmpl w:val="8F1495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F411A01"/>
    <w:multiLevelType w:val="multilevel"/>
    <w:tmpl w:val="84B48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18F008B"/>
    <w:multiLevelType w:val="multilevel"/>
    <w:tmpl w:val="23F85A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3E7B38EB"/>
    <w:multiLevelType w:val="multilevel"/>
    <w:tmpl w:val="BA7A86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43334318"/>
    <w:multiLevelType w:val="multilevel"/>
    <w:tmpl w:val="821C13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4CB3216E"/>
    <w:multiLevelType w:val="multilevel"/>
    <w:tmpl w:val="83E2F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4FC86A9D"/>
    <w:multiLevelType w:val="multilevel"/>
    <w:tmpl w:val="A89A92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37D26CA"/>
    <w:multiLevelType w:val="multilevel"/>
    <w:tmpl w:val="A2C4CF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54062304"/>
    <w:multiLevelType w:val="multilevel"/>
    <w:tmpl w:val="1FDA68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5A193A32"/>
    <w:multiLevelType w:val="multilevel"/>
    <w:tmpl w:val="7EE6B7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5B0A5703"/>
    <w:multiLevelType w:val="multilevel"/>
    <w:tmpl w:val="962483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64EB59D5"/>
    <w:multiLevelType w:val="multilevel"/>
    <w:tmpl w:val="FE5216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65B229AF"/>
    <w:multiLevelType w:val="multilevel"/>
    <w:tmpl w:val="A4D86F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6BEF7E53"/>
    <w:multiLevelType w:val="multilevel"/>
    <w:tmpl w:val="0EC85A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7EC8046B"/>
    <w:multiLevelType w:val="multilevel"/>
    <w:tmpl w:val="4A9EFD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5"/>
  </w:num>
  <w:num w:numId="2">
    <w:abstractNumId w:val="23"/>
  </w:num>
  <w:num w:numId="3">
    <w:abstractNumId w:val="21"/>
  </w:num>
  <w:num w:numId="4">
    <w:abstractNumId w:val="20"/>
  </w:num>
  <w:num w:numId="5">
    <w:abstractNumId w:val="6"/>
  </w:num>
  <w:num w:numId="6">
    <w:abstractNumId w:val="14"/>
  </w:num>
  <w:num w:numId="7">
    <w:abstractNumId w:val="25"/>
  </w:num>
  <w:num w:numId="8">
    <w:abstractNumId w:val="26"/>
  </w:num>
  <w:num w:numId="9">
    <w:abstractNumId w:val="24"/>
  </w:num>
  <w:num w:numId="10">
    <w:abstractNumId w:val="7"/>
  </w:num>
  <w:num w:numId="11">
    <w:abstractNumId w:val="13"/>
  </w:num>
  <w:num w:numId="12">
    <w:abstractNumId w:val="8"/>
  </w:num>
  <w:num w:numId="13">
    <w:abstractNumId w:val="5"/>
  </w:num>
  <w:num w:numId="14">
    <w:abstractNumId w:val="19"/>
  </w:num>
  <w:num w:numId="15">
    <w:abstractNumId w:val="16"/>
  </w:num>
  <w:num w:numId="16">
    <w:abstractNumId w:val="4"/>
  </w:num>
  <w:num w:numId="17">
    <w:abstractNumId w:val="12"/>
  </w:num>
  <w:num w:numId="18">
    <w:abstractNumId w:val="9"/>
  </w:num>
  <w:num w:numId="19">
    <w:abstractNumId w:val="3"/>
  </w:num>
  <w:num w:numId="20">
    <w:abstractNumId w:val="22"/>
  </w:num>
  <w:num w:numId="21">
    <w:abstractNumId w:val="11"/>
  </w:num>
  <w:num w:numId="22">
    <w:abstractNumId w:val="10"/>
  </w:num>
  <w:num w:numId="23">
    <w:abstractNumId w:val="0"/>
  </w:num>
  <w:num w:numId="24">
    <w:abstractNumId w:val="17"/>
  </w:num>
  <w:num w:numId="25">
    <w:abstractNumId w:val="1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A0"/>
    <w:rsid w:val="002519A0"/>
    <w:rsid w:val="002619C0"/>
    <w:rsid w:val="00355E2C"/>
    <w:rsid w:val="0055063A"/>
    <w:rsid w:val="00606036"/>
    <w:rsid w:val="0079416E"/>
    <w:rsid w:val="008E2878"/>
    <w:rsid w:val="00B63B01"/>
    <w:rsid w:val="00ED5699"/>
    <w:rsid w:val="00F04CD4"/>
    <w:rsid w:val="00F0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5B77"/>
  <w15:docId w15:val="{4261DD71-35BF-44E7-AD78-93E8AB08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63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6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6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yu.fi/digipalvelut/fi/ohjeet/sisu-ohjeet/opetussuunnitelmatyo/opintojakson-tyypin-valin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yu.fi/digipalvelut/fi/ohjeet/kovs-ohjeet/ops/ohjeet-suunnittelijoille/opintojaksokoodit_ohje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ieteentiedotus.fi/files/Tiedebarometri_2019.pdf?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cience.iit.edu/mathematics-science-education/resources/lederman-deposito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kliitto.fi/yk-teemat/kestava-kehitys/kestavan-kehityksen-tavoitte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667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Lindell, Anssi</dc:creator>
  <cp:lastModifiedBy>Lindell, Anssi</cp:lastModifiedBy>
  <cp:revision>7</cp:revision>
  <dcterms:created xsi:type="dcterms:W3CDTF">2019-11-28T15:16:00Z</dcterms:created>
  <dcterms:modified xsi:type="dcterms:W3CDTF">2019-12-03T11:10:00Z</dcterms:modified>
</cp:coreProperties>
</file>