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A6" w:rsidRPr="00C20855" w:rsidRDefault="00A46FA6" w:rsidP="00A46FA6">
      <w:pPr>
        <w:autoSpaceDE w:val="0"/>
        <w:autoSpaceDN w:val="0"/>
        <w:adjustRightInd w:val="0"/>
        <w:spacing w:after="0" w:line="240" w:lineRule="auto"/>
        <w:rPr>
          <w:rFonts w:cs="Helvetica-Bold"/>
          <w:b/>
          <w:bCs/>
          <w:color w:val="000000"/>
          <w:sz w:val="28"/>
          <w:szCs w:val="28"/>
        </w:rPr>
      </w:pPr>
      <w:proofErr w:type="gramStart"/>
      <w:r w:rsidRPr="00C20855">
        <w:rPr>
          <w:rFonts w:cs="Helvetica-Bold"/>
          <w:b/>
          <w:bCs/>
          <w:color w:val="000000"/>
          <w:sz w:val="28"/>
          <w:szCs w:val="28"/>
        </w:rPr>
        <w:t>KARSTULAN  LUKION</w:t>
      </w:r>
      <w:proofErr w:type="gramEnd"/>
      <w:r w:rsidRPr="00C20855">
        <w:rPr>
          <w:rFonts w:cs="Helvetica-Bold"/>
          <w:b/>
          <w:bCs/>
          <w:color w:val="000000"/>
          <w:sz w:val="28"/>
          <w:szCs w:val="28"/>
        </w:rPr>
        <w:t xml:space="preserve"> TASA-ARVOSUUNNITELMA</w:t>
      </w:r>
    </w:p>
    <w:p w:rsidR="00A46FA6" w:rsidRPr="00C20855" w:rsidRDefault="00A46FA6" w:rsidP="00A46FA6">
      <w:pPr>
        <w:autoSpaceDE w:val="0"/>
        <w:autoSpaceDN w:val="0"/>
        <w:adjustRightInd w:val="0"/>
        <w:spacing w:after="0" w:line="240" w:lineRule="auto"/>
        <w:rPr>
          <w:rFonts w:cs="Helvetica-Bold"/>
          <w:b/>
          <w:bCs/>
          <w:color w:val="000000"/>
          <w:sz w:val="32"/>
          <w:szCs w:val="32"/>
        </w:rPr>
      </w:pPr>
      <w:r w:rsidRPr="00C20855">
        <w:rPr>
          <w:rFonts w:cs="Helvetica-Bold"/>
          <w:b/>
          <w:bCs/>
          <w:color w:val="000000"/>
          <w:sz w:val="32"/>
          <w:szCs w:val="32"/>
        </w:rPr>
        <w:t>Sisällys</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1. Johdanto</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2. Tasa-arvoon liittyvä lainsäädäntö</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3. Tasa-arvosuunnitelman tavoitteet</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 xml:space="preserve">4. </w:t>
      </w:r>
      <w:r w:rsidR="0020513D" w:rsidRPr="00C20855">
        <w:rPr>
          <w:rFonts w:cs="Helvetica-Bold"/>
          <w:b/>
          <w:bCs/>
          <w:color w:val="000000"/>
          <w:sz w:val="26"/>
          <w:szCs w:val="26"/>
        </w:rPr>
        <w:t>Karstulan</w:t>
      </w:r>
      <w:r w:rsidRPr="00C20855">
        <w:rPr>
          <w:rFonts w:cs="Helvetica-Bold"/>
          <w:b/>
          <w:bCs/>
          <w:color w:val="000000"/>
          <w:sz w:val="26"/>
          <w:szCs w:val="26"/>
        </w:rPr>
        <w:t xml:space="preserve"> lukion opetussuunnitelma</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5. Opiskelijoiden valinnat</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6. Opetuksen järjestäminen</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7. Opintosuoritusten arviointi</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8. Sukupuolinen häirintä ja sen ehkäisy</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 xml:space="preserve">9. </w:t>
      </w:r>
      <w:r w:rsidR="0020513D" w:rsidRPr="00C20855">
        <w:rPr>
          <w:rFonts w:cs="Helvetica-Bold"/>
          <w:b/>
          <w:bCs/>
          <w:color w:val="000000"/>
          <w:sz w:val="26"/>
          <w:szCs w:val="26"/>
        </w:rPr>
        <w:t>Karstulan</w:t>
      </w:r>
      <w:r w:rsidRPr="00C20855">
        <w:rPr>
          <w:rFonts w:cs="Helvetica-Bold"/>
          <w:b/>
          <w:bCs/>
          <w:color w:val="000000"/>
          <w:sz w:val="26"/>
          <w:szCs w:val="26"/>
        </w:rPr>
        <w:t xml:space="preserve"> lukion opiskelijoiden sukupuolijakaumat ja muuta tilastotietoa</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10. Tasa-arvosuunnitelmasta tiedottaminen</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1. Johdanto</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Laki naisten ja miesten välisestä tasa-arvosta (609/1986, tasa-arvolaki) ja sen uudistus</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(232/2005) velvoittavat oppilaitokset (ei peruskouluja) laatimaan tasa-arvosuunnitelman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yhteistyössä henkilöstön ja opiskelijoiden edustajien kanssa.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Suunnitelmaan tulee kirjata selvitys oppilaitoksen tasa-arvotilanteesta, mahdolliset ongelmakohdat sekä toimenpiteet tasa-arvon edistämiseksi ja sen tulee tähdätä nimenomaan oppilaitoksen toiminnan kehittämiseen. Lukion tasa-arvosuunnitelmassa on erityisesti huomioitava tasa-arvon toteutuminen opiskelijavalinnoissa, opetusta järjestettäessä ja opintosuorituksia arvioitaessa. Edelleen tärkeää on seksuaalisen häirinnän ja sukupuolen perusteella tapahtuvan häirinnän ennalta ehkäiseminen ja lopettaminen. Tasa-arvosuunnitelman toteutumista seurataan ja sitä tarkistetaan ja päivitetään tarvittaessa tai vähintään kolmen vuoden välein. Siihen sisällytetään arvio aikaisemman suunnitelman toteutumisesta, käytetyistä toimenpiteistä ja mahdollisista tuloksista.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Karstulan lukion tasa-arvosuunnitelma liitetään osaksi koulun opetussuunnitelmaa.</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2. Tasa-arvoon liittyvä lainsäädäntö</w:t>
      </w:r>
    </w:p>
    <w:p w:rsidR="00A46FA6" w:rsidRPr="00C20855" w:rsidRDefault="00A46FA6" w:rsidP="00A46FA6">
      <w:pPr>
        <w:autoSpaceDE w:val="0"/>
        <w:autoSpaceDN w:val="0"/>
        <w:adjustRightInd w:val="0"/>
        <w:spacing w:after="0" w:line="240" w:lineRule="auto"/>
        <w:rPr>
          <w:rFonts w:cs="Helvetica-BoldOblique"/>
          <w:b/>
          <w:bCs/>
          <w:i/>
          <w:iCs/>
          <w:color w:val="000000"/>
          <w:sz w:val="24"/>
          <w:szCs w:val="24"/>
        </w:rPr>
      </w:pPr>
      <w:r w:rsidRPr="00C20855">
        <w:rPr>
          <w:rFonts w:cs="Helvetica-BoldOblique"/>
          <w:b/>
          <w:bCs/>
          <w:i/>
          <w:iCs/>
          <w:color w:val="000000"/>
          <w:sz w:val="24"/>
          <w:szCs w:val="24"/>
        </w:rPr>
        <w:t>Laki naisten ja miesten välisestä tasa-arvosta (609/8.8.1986)</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5 § Tasa-arvon toteuttaminen koulutuksessa ja opetuksessa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Viranomaisten ja oppilaitosten sekä muiden koulutusta ja opetusta järjestävien yhteisöjen on huolehdittava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siitä, että naisilla ja miehillä on samat mahdollisuudet koulutukseen ja ammatilliseen kehitykseen sekä että</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opetus, tutkimus ja oppiaineisto tukevat tämän lain tarkoituksen toteutumista.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6b § Toimenpiteet tasa-arvon edistämiseksi oppilaitoksissa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 xml:space="preserve">Oppilaitoksen tulee vuosittain yhteistyössä henkilöstön ja opiskelijoiden edustajien kanssa laatia </w:t>
      </w:r>
      <w:proofErr w:type="spellStart"/>
      <w:r w:rsidRPr="00C20855">
        <w:rPr>
          <w:rFonts w:cs="Helvetica-Oblique"/>
          <w:i/>
          <w:iCs/>
          <w:color w:val="000000"/>
          <w:sz w:val="20"/>
          <w:szCs w:val="20"/>
        </w:rPr>
        <w:t>tasaarvosuunnitelma</w:t>
      </w:r>
      <w:proofErr w:type="spellEnd"/>
      <w:r w:rsidRPr="00C20855">
        <w:rPr>
          <w:rFonts w:cs="Helvetica-Oblique"/>
          <w:i/>
          <w:iCs/>
          <w:color w:val="000000"/>
          <w:sz w:val="20"/>
          <w:szCs w:val="20"/>
        </w:rPr>
        <w:t>.</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Suunnitelman tulee sisältää oppilaitoksen tasa-arvotilanteen ja siihen liittyvien ongelmien</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kartoitus sekä toteutettaviksi suunnitellut tarpeelliset toimenpiteet tasa-arvon edistämiseksi. Erityistä huomiota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tulee kiinnittää tasa-arvon toteutumiseen opiskelijavalinnoissa, opetusta järjestettäessä ja opintosuorituksia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arvioitaessa sekä toimenpiteisiin, joilla pyritään seksuaalisen häirinnän ja sukupuolen perusteella tapahtuvan</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häirinnän ehkäisemiseen ja poistamiseen. Tasa-arvosuunnitelman tulee sisältää arvio aikaisempaan</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tasa-arvosuunnitelmaan sisältyneiden toimenpiteiden toteuttamisesta ja niiden tuloksista. Suunnitelma voidaan</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sisällyttää osaksi opetussuunnitelmaa tai muuta oppilaitoksessa laadittavaa suunnitelmaa. Vuosittaisen</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tarkastelun sijasta voidaan oppilaitoksessa sopia, että suunnitelma laaditaan vähintään kerran kolmessa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 xml:space="preserve">vuodessa. Tätä pykälää ei sovelleta perusopetuslaissa </w:t>
      </w:r>
      <w:r w:rsidRPr="00C20855">
        <w:rPr>
          <w:rFonts w:cs="Helvetica-Oblique"/>
          <w:i/>
          <w:iCs/>
          <w:color w:val="0000FF"/>
          <w:sz w:val="20"/>
          <w:szCs w:val="20"/>
        </w:rPr>
        <w:t xml:space="preserve">(628/1998) </w:t>
      </w:r>
      <w:r w:rsidRPr="00C20855">
        <w:rPr>
          <w:rFonts w:cs="Helvetica-Oblique"/>
          <w:i/>
          <w:iCs/>
          <w:color w:val="000000"/>
          <w:sz w:val="20"/>
          <w:szCs w:val="20"/>
        </w:rPr>
        <w:t>tarkoitettuihin opetuksen järjestäjiin ja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kouluihin.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7 § Syrjinnän kielto</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Välitön ja välillinen syrjintä sukupuolen perusteella on kielletty. Välittömällä syrjinnällä tarkoitetaan tässä laissa: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1) naisten ja miesten asettamista eri asemaan sukupuolen perusteella; tai 2) eri asemaan asettamista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raskaudesta tai synnytyksestä johtuvasta syystä.</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Välillisellä syrjinnällä tarkoitetaan tässä laissa: 1) eri asemaan asettamista sukupuoleen nähden neutraalilta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lastRenderedPageBreak/>
        <w:t>vaikuttavan säännöksen, perusteen tai käytännön nojalla, jos menettelyn vaikutuksesta henkilöt voivat tosiasiallisesti</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joutua epäedulliseen asemaan sukupuolen perusteella; tai 2) eri asemaan asettamista vanhemmuuden</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tai perheenhuoltovelvollisuuden perusteella.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Edellä 3 momentin 1 ja 2 kohdassa tarkoitettua menettelyä ei kuitenkaan ole pidettävä syrjintänä, jos sillä</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pyritään hyväksyttävään tavoitteeseen ja valittuja keinoja on pidettävä aiheellisina ja tarpeellisina tähän tavoitteeseen</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nähden. Seksuaalista häirintää ja häirintää sukupuolen perusteella samoin kuin käskyä tai ohjetta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harjoittaa sukupuoleen perustuvaa syrjintää on pidettävä tässä laissa tarkoitettuna syrjintänä.</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8b § Syrjintä oppilaitoksissa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Oppilaitoksen sekä muiden koulutusta ja opetusta järjestävien yhteisöjen menettelyä on pidettävä tässä laissa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kiellettynä syrjintänä, jos henkilö asetetaan opiskelijavalinnoissa, opetusta järjestettäessä, opintosuoritusten</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arvioinnissa tai oppilaitoksen tai yhteisön muussa varsinaisessa toiminnassa sukupuolen perusteella</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muita epäedullisempaan asemaan taikka muutoin kohdellaan 7 §:ssä tarkoitetulla tavalla. Tätä pykälää ei</w:t>
      </w:r>
    </w:p>
    <w:p w:rsidR="00A46FA6" w:rsidRPr="00C20855" w:rsidRDefault="00A46FA6" w:rsidP="00A46FA6">
      <w:pPr>
        <w:autoSpaceDE w:val="0"/>
        <w:autoSpaceDN w:val="0"/>
        <w:adjustRightInd w:val="0"/>
        <w:spacing w:after="0" w:line="240" w:lineRule="auto"/>
        <w:rPr>
          <w:rFonts w:cs="Helvetica-Oblique"/>
          <w:i/>
          <w:iCs/>
          <w:color w:val="000000"/>
          <w:sz w:val="20"/>
          <w:szCs w:val="20"/>
        </w:rPr>
      </w:pPr>
      <w:r w:rsidRPr="00C20855">
        <w:rPr>
          <w:rFonts w:cs="Helvetica-Oblique"/>
          <w:i/>
          <w:iCs/>
          <w:color w:val="000000"/>
          <w:sz w:val="20"/>
          <w:szCs w:val="20"/>
        </w:rPr>
        <w:t>sovelleta perusopetuslaissa tarkoitettuihin opetuksen järjestäjiin ja kouluihin.</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3. Tasa-arvosuunnitelman tavoitteet</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Tasa-arvosuunnitelman tavoitteena on kiinnittää huomiota naisten ja miesten välisen tasa-arvon toteutumiseen. Tarkoituksena on ennaltaehkäistä kaikkea sukupuoleen perustuvaa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syrjintää. Tasa-</w:t>
      </w:r>
      <w:proofErr w:type="gramStart"/>
      <w:r w:rsidRPr="00C20855">
        <w:rPr>
          <w:rFonts w:cs="Helvetica"/>
          <w:color w:val="000000"/>
          <w:sz w:val="24"/>
          <w:szCs w:val="24"/>
        </w:rPr>
        <w:t>arvolaissa ( 7</w:t>
      </w:r>
      <w:proofErr w:type="gramEnd"/>
      <w:r w:rsidRPr="00C20855">
        <w:rPr>
          <w:rFonts w:cs="Helvetica"/>
          <w:color w:val="000000"/>
          <w:sz w:val="24"/>
          <w:szCs w:val="24"/>
        </w:rPr>
        <w:t xml:space="preserve"> §) kielletään välitön ja välillinen syrjintä sukupuolen perusteella.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Siinä määritellään syrjinnäksi myös seksuaalinen häirintä ja häirintä sukupuolen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perusteella sekä myös käsky harjoittaa sukupuoleen perustuvaa syrjintää. Lisäksi vielä</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tasa-arvolaissa (8b §) kielletään syrjintä oppilaitoksissa. Naisilla ja miehillä tulisi olla samanlaiset mahdollisuudet koulutukseen.</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4. Karstulan lukion opetussuunnitelma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Karstulan lukion opetussuunnitelman mukaan opiskelijoita pyritään kasvattamaan suvaitsevaisuuteen.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Opetuksen perustana ovat ihmisoikeuksien ja elämän kunnioitus. Tavoitteena on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mm. pyrkimys oikeudenmukaisuuteen ja demokratian ja tasa-arvon edistämiseen. Edelleen opiskelijan tulisi oppia tuntemaan, mitkä ovat kansalaisen perusoikeudet Suomessa, mitä ne käytännössä merkitsevät sekä miten niitä ylläpidetään ja edistetään. Opetussuunnitelman tavoitteissa siis näkyy pyrkimys ohjata opiskelijoita kaikinpuolisen tasa-arvoon toteuttamiseen. Tämä ei tarkoita sitä, että vaadittaisiin kaikkien tasapäistämistä tai sitä, että kaikkien pitäisi olla samanlaisia. Lukiossamme arvostetaan kulttuurimme rikasta perintöä ja yleisesti hyväksyttyjä hyviä käytöstapoja.</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5. Opiskelijoiden valinnat</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Koulutus- ja ammattirakenteen jakautuminen sukupuolen mukaan on Suomessa erityisen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voimakasta. On selkeästi nähtävissä, että naiset kilpailevat keskenään koulutuspaikoista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naisenemmistöisille aloille, mistä johtuu, että naisvaltaisille aloille on vaikeampi päästä</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opiskelemaan kuin miesvaltaisille. Näistä rakenteellisista tekijöistä johtuen miesten on helpompi päästä koulutukseen, vaikka heidän koulumenestyksensä on ollut heikompi.</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Lukioaikana otetaan esiin koulutuksen ja työmarkkinoiden sukupuolijako. Parhaiten tämä</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soveltuu tehtäväksi opinto-ohjauksen yhteydessä, mutta sopii myös keskustelun aiheeksi</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eri oppiaineiden tunneilla. Opiskelijoille esitellään tasapuolisesti kaikkia aloja ja ammatteja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ja tutustutaan alojen vaatimuksiin, opiskelupaikkoihin ja pääsyvaatimuksiin..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Karstulan lukion opettajakuntaan kuuluu sekä nais- että miesopettajia (lukuvuonna </w:t>
      </w:r>
      <w:proofErr w:type="gramStart"/>
      <w:r w:rsidRPr="00C20855">
        <w:rPr>
          <w:rFonts w:cs="Helvetica"/>
          <w:color w:val="000000"/>
          <w:sz w:val="24"/>
          <w:szCs w:val="24"/>
        </w:rPr>
        <w:t>2015-2016</w:t>
      </w:r>
      <w:proofErr w:type="gramEnd"/>
      <w:r w:rsidRPr="00C20855">
        <w:rPr>
          <w:rFonts w:cs="Helvetica"/>
          <w:color w:val="000000"/>
          <w:sz w:val="24"/>
          <w:szCs w:val="24"/>
        </w:rPr>
        <w:t xml:space="preserve">  naisopettajaa ja  miesopettajaa), mikä on opiskelijoiden kannalta hyvä tilanne.</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6. Opetuksen järjestäminen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Tutkimusten mukaan pitkään on pyritty sukupuolten väliseen tasa-arvon toteuttamiseen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sillä, että opetus on ollut mahdollisimman sukupuolineutraalia eli opiskelijoiden sukupuoleen on kiinnitetty mahdollisimman vähän huomiota. Viime vuosina on painopistettä siirretty ns. </w:t>
      </w:r>
      <w:r w:rsidRPr="00C20855">
        <w:rPr>
          <w:rFonts w:cs="Helvetica"/>
          <w:color w:val="000000"/>
          <w:sz w:val="24"/>
          <w:szCs w:val="24"/>
        </w:rPr>
        <w:lastRenderedPageBreak/>
        <w:t>sukupuolisensitiivisen opetustavan suuntaan, jossa tavoitteena on tunnistaa tyttöjen ja poik</w:t>
      </w:r>
      <w:bookmarkStart w:id="0" w:name="_GoBack"/>
      <w:bookmarkEnd w:id="0"/>
      <w:r w:rsidRPr="00C20855">
        <w:rPr>
          <w:rFonts w:cs="Helvetica"/>
          <w:color w:val="000000"/>
          <w:sz w:val="24"/>
          <w:szCs w:val="24"/>
        </w:rPr>
        <w:t>ien erilaiset tarpeet eri ikä- ja kehitysvaiheissa.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Opiskeluolot tulee järjestää sellaisiksi, että ne sopivat sekä nais- että miesopiskelijoille.</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Erityistä huomiota tulee kiinnittää siihen, ettei toisinaan nuorten lukiolaismiesten keskuudessa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havaittava hyvän menestyksen väheksyminen johtaisi poikien alisuoriutumiseen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lukiossa. Molempia sukupuolia tulee kannustaa löytämään omat henkilökohtaiset vahvuutensa ja kiinnostuksen kohteensa.</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7. Opintosuoritusten arviointi</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Kaikinpuolisen tasa-arvon tulee toteutua opiskelijoiden suorituksia arvioitaessa. Opettajien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tulee antaa arvosanat osaamisen ja tiedon perusteella eikä suosimalla jompaakumpaa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sukupuolta. Arvioinnin perusteet tulee kertoa opiskelijoille kurssin alussa ja opettajan pitää</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arvioida suoritukset sen mukaan, miten hyvin opetussuunnitelman asettamat </w:t>
      </w:r>
      <w:proofErr w:type="gramStart"/>
      <w:r w:rsidRPr="00C20855">
        <w:rPr>
          <w:rFonts w:cs="Helvetica"/>
          <w:color w:val="000000"/>
          <w:sz w:val="24"/>
          <w:szCs w:val="24"/>
        </w:rPr>
        <w:t>tavoitteet on</w:t>
      </w:r>
      <w:proofErr w:type="gramEnd"/>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saavutettu käyttäen samoja kriteereitä kaikkiin opiskelijoihin sukupuoleen katsomatta.</w:t>
      </w:r>
    </w:p>
    <w:p w:rsidR="00A46FA6" w:rsidRPr="00C20855" w:rsidRDefault="00B70EB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Karstulan</w:t>
      </w:r>
      <w:r w:rsidR="00A46FA6" w:rsidRPr="00C20855">
        <w:rPr>
          <w:rFonts w:cs="Helvetica"/>
          <w:color w:val="000000"/>
          <w:sz w:val="24"/>
          <w:szCs w:val="24"/>
        </w:rPr>
        <w:t xml:space="preserve"> lukion opetussuunnitelman mukaan arvioinnin pitää olla oikeudenmukaista, tasapuolista ja vertailukelpoista, ennustavaa ja sen tulee pohjautua riittävän kattavaan näyttöön.</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8. Sukupuolinen häirintä ja sen ehkäisy</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Sukupuolisena häirintänä tai ahdisteluna pidetään kaikkea sellaista toimintaa, jota sen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kohde pitää loukkaavana tai vastenmielisenä. Kaikkien Karstulan lukiossa opiskelevien tai</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työskentelevien tulee kohdella toisiaan kunnioittavasti ja tasavertaisesti. Minkäänlaista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henkilöön tai ryhmään kohdistuvaa seksuaalista tai muuta häirintää - ei henkistä eikä fyysistä</w:t>
      </w:r>
    </w:p>
    <w:p w:rsidR="00A46FA6" w:rsidRPr="00C20855" w:rsidRDefault="00A46FA6" w:rsidP="00A46FA6">
      <w:pPr>
        <w:autoSpaceDE w:val="0"/>
        <w:autoSpaceDN w:val="0"/>
        <w:adjustRightInd w:val="0"/>
        <w:spacing w:after="0" w:line="240" w:lineRule="auto"/>
        <w:rPr>
          <w:rFonts w:cs="Helvetica"/>
          <w:color w:val="000000"/>
          <w:sz w:val="24"/>
          <w:szCs w:val="24"/>
        </w:rPr>
      </w:pPr>
      <w:proofErr w:type="gramStart"/>
      <w:r w:rsidRPr="00C20855">
        <w:rPr>
          <w:rFonts w:cs="Helvetica"/>
          <w:color w:val="000000"/>
          <w:sz w:val="24"/>
          <w:szCs w:val="24"/>
        </w:rPr>
        <w:t>-</w:t>
      </w:r>
      <w:proofErr w:type="gramEnd"/>
      <w:r w:rsidRPr="00C20855">
        <w:rPr>
          <w:rFonts w:cs="Helvetica"/>
          <w:color w:val="000000"/>
          <w:sz w:val="24"/>
          <w:szCs w:val="24"/>
        </w:rPr>
        <w:t xml:space="preserve"> suvaita. </w:t>
      </w:r>
      <w:proofErr w:type="gramStart"/>
      <w:r w:rsidRPr="00C20855">
        <w:rPr>
          <w:rFonts w:cs="Helvetica"/>
          <w:color w:val="000000"/>
          <w:sz w:val="24"/>
          <w:szCs w:val="24"/>
        </w:rPr>
        <w:t>Myöskään ei-toivottu kielenkäyttö - kuten haistattelu, kiroilu, nimittely, härskit</w:t>
      </w:r>
      <w:proofErr w:type="gramEnd"/>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puheet, ulkonäön arvosteleminen tai muu uhkaava käyttäytyminen - ei ole sallittua. Niin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ikään sukupuolisesti vihjailevat eleet ja seksuaalisesti värittyneet viestit kuuluvat toimintaan, jota ei voida hyväksyä. Tarkoituksellinen seksuaalisesti provosoiva pukeutuminen luetaan myös seksuaaliseksi häirinnäksi.</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Jokaisella opiskelijalla on oikeus turvalliseen opiskeluympäristöön. Epäasialliseen kielenkäyttöön ja käyttäytymiseen puututaan. Toimenpiteinä käytetään luokasta poistamista ja tarvittaessa rehtorin puhuttelua. Jos on joutunut sukupuolisen häirinnän kohteeksi, tulee tämä ilmaista häiritsijälle ja mikäli tämä ei auta, tulee ilmoittaa asiasta opettajakunnalle tai esimiehelle. Vastuu häirinnän poistamiseksi siirtyy </w:t>
      </w:r>
      <w:r w:rsidR="00B70EB6" w:rsidRPr="00C20855">
        <w:rPr>
          <w:rFonts w:cs="Helvetica"/>
          <w:color w:val="000000"/>
          <w:sz w:val="24"/>
          <w:szCs w:val="24"/>
        </w:rPr>
        <w:t>Karstulan</w:t>
      </w:r>
      <w:r w:rsidRPr="00C20855">
        <w:rPr>
          <w:rFonts w:cs="Helvetica"/>
          <w:color w:val="000000"/>
          <w:sz w:val="24"/>
          <w:szCs w:val="24"/>
        </w:rPr>
        <w:t xml:space="preserve"> lukiolle siinä vaiheessa, kun sen henkilöstön edustajalle on asiasta ilmoitettu. Tiedon saatuaan oppilaitos ryhtyy poistamaan ongelmaa käytettävissään olevin keinoin.</w:t>
      </w:r>
    </w:p>
    <w:p w:rsidR="00A46FA6" w:rsidRPr="00C20855" w:rsidRDefault="00A46FA6" w:rsidP="00A46FA6">
      <w:pPr>
        <w:autoSpaceDE w:val="0"/>
        <w:autoSpaceDN w:val="0"/>
        <w:adjustRightInd w:val="0"/>
        <w:spacing w:after="0" w:line="240" w:lineRule="auto"/>
        <w:rPr>
          <w:rFonts w:cs="Helvetica-Bold"/>
          <w:b/>
          <w:bCs/>
          <w:color w:val="000000"/>
          <w:sz w:val="24"/>
          <w:szCs w:val="24"/>
        </w:rPr>
      </w:pPr>
      <w:r w:rsidRPr="00C20855">
        <w:rPr>
          <w:rFonts w:cs="Helvetica-Bold"/>
          <w:b/>
          <w:bCs/>
          <w:color w:val="000000"/>
          <w:sz w:val="24"/>
          <w:szCs w:val="24"/>
        </w:rPr>
        <w:t>9. Karstulan lukion opiskelijoiden sukupuolijakaumat ja muuta tilastotietoa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Sukupuolen mukaan eritellyt tilastot opiskelijoista saadaan </w:t>
      </w:r>
      <w:r w:rsidR="00557D30" w:rsidRPr="00C20855">
        <w:rPr>
          <w:rFonts w:cs="Helvetica"/>
          <w:color w:val="000000"/>
          <w:sz w:val="24"/>
          <w:szCs w:val="24"/>
        </w:rPr>
        <w:t>Helmi</w:t>
      </w:r>
      <w:r w:rsidRPr="00C20855">
        <w:rPr>
          <w:rFonts w:cs="Helvetica"/>
          <w:color w:val="000000"/>
          <w:sz w:val="24"/>
          <w:szCs w:val="24"/>
        </w:rPr>
        <w:t>-opiskelijahallintaohjelmasta.</w:t>
      </w:r>
    </w:p>
    <w:p w:rsidR="00A46FA6" w:rsidRPr="00C20855" w:rsidRDefault="00557D30"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Lukuvuonna 2015 -16</w:t>
      </w:r>
      <w:r w:rsidR="00A46FA6" w:rsidRPr="00C20855">
        <w:rPr>
          <w:rFonts w:cs="Helvetica"/>
          <w:color w:val="000000"/>
          <w:sz w:val="24"/>
          <w:szCs w:val="24"/>
        </w:rPr>
        <w:t xml:space="preserve"> </w:t>
      </w:r>
      <w:r w:rsidRPr="00C20855">
        <w:rPr>
          <w:rFonts w:cs="Helvetica"/>
          <w:color w:val="000000"/>
          <w:sz w:val="24"/>
          <w:szCs w:val="24"/>
        </w:rPr>
        <w:t>Karstulan</w:t>
      </w:r>
      <w:r w:rsidR="00A46FA6" w:rsidRPr="00C20855">
        <w:rPr>
          <w:rFonts w:cs="Helvetica"/>
          <w:color w:val="000000"/>
          <w:sz w:val="24"/>
          <w:szCs w:val="24"/>
        </w:rPr>
        <w:t xml:space="preserve"> lukion opiskelijoiden pros</w:t>
      </w:r>
      <w:r w:rsidRPr="00C20855">
        <w:rPr>
          <w:rFonts w:cs="Helvetica"/>
          <w:color w:val="000000"/>
          <w:sz w:val="24"/>
          <w:szCs w:val="24"/>
        </w:rPr>
        <w:t xml:space="preserve">entuaalinen sukupuolijakauma on </w:t>
      </w:r>
      <w:r w:rsidR="00A46FA6" w:rsidRPr="00C20855">
        <w:rPr>
          <w:rFonts w:cs="Helvetica"/>
          <w:color w:val="000000"/>
          <w:sz w:val="24"/>
          <w:szCs w:val="24"/>
        </w:rPr>
        <w:t>seuraava: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naisia</w:t>
      </w:r>
      <w:r w:rsidR="005664D9" w:rsidRPr="00C20855">
        <w:rPr>
          <w:rFonts w:cs="Helvetica"/>
          <w:color w:val="000000"/>
          <w:sz w:val="24"/>
          <w:szCs w:val="24"/>
        </w:rPr>
        <w:t xml:space="preserve"> 57,</w:t>
      </w:r>
      <w:proofErr w:type="gramStart"/>
      <w:r w:rsidR="005664D9" w:rsidRPr="00C20855">
        <w:rPr>
          <w:rFonts w:cs="Helvetica"/>
          <w:color w:val="000000"/>
          <w:sz w:val="24"/>
          <w:szCs w:val="24"/>
        </w:rPr>
        <w:t>7%</w:t>
      </w:r>
      <w:proofErr w:type="gramEnd"/>
      <w:r w:rsidRPr="00C20855">
        <w:rPr>
          <w:rFonts w:cs="Helvetica"/>
          <w:color w:val="000000"/>
          <w:sz w:val="24"/>
          <w:szCs w:val="24"/>
        </w:rPr>
        <w:t xml:space="preserve"> miehiä</w:t>
      </w:r>
      <w:r w:rsidR="005664D9" w:rsidRPr="00C20855">
        <w:rPr>
          <w:rFonts w:cs="Helvetica"/>
          <w:color w:val="000000"/>
          <w:sz w:val="24"/>
          <w:szCs w:val="24"/>
        </w:rPr>
        <w:t xml:space="preserve"> 42,3%</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 xml:space="preserve">Koska kyseessä on suhteellisen pienet kokonaismäärät, voidaan </w:t>
      </w:r>
      <w:r w:rsidR="00557D30" w:rsidRPr="00C20855">
        <w:rPr>
          <w:rFonts w:cs="Helvetica"/>
          <w:color w:val="000000"/>
          <w:sz w:val="24"/>
          <w:szCs w:val="24"/>
        </w:rPr>
        <w:t xml:space="preserve">tuloksia näennäisen suuristakin </w:t>
      </w:r>
      <w:r w:rsidRPr="00C20855">
        <w:rPr>
          <w:rFonts w:cs="Helvetica"/>
          <w:color w:val="000000"/>
          <w:sz w:val="24"/>
          <w:szCs w:val="24"/>
        </w:rPr>
        <w:t>vuosittaisista heilahduksista huolimatta pitää norm</w:t>
      </w:r>
      <w:r w:rsidR="00557D30" w:rsidRPr="00C20855">
        <w:rPr>
          <w:rFonts w:cs="Helvetica"/>
          <w:color w:val="000000"/>
          <w:sz w:val="24"/>
          <w:szCs w:val="24"/>
        </w:rPr>
        <w:t xml:space="preserve">aaleina eikä niistä voida tehdä </w:t>
      </w:r>
      <w:r w:rsidRPr="00C20855">
        <w:rPr>
          <w:rFonts w:cs="Helvetica"/>
          <w:color w:val="000000"/>
          <w:sz w:val="24"/>
          <w:szCs w:val="24"/>
        </w:rPr>
        <w:t>kovin pitkälle meneviä johtopäätöksiä. Ihanteena olisi, että</w:t>
      </w:r>
      <w:r w:rsidR="00557D30" w:rsidRPr="00C20855">
        <w:rPr>
          <w:rFonts w:cs="Helvetica"/>
          <w:color w:val="000000"/>
          <w:sz w:val="24"/>
          <w:szCs w:val="24"/>
        </w:rPr>
        <w:t xml:space="preserve"> molempia sukupuolia hakeutuisi </w:t>
      </w:r>
      <w:r w:rsidRPr="00C20855">
        <w:rPr>
          <w:rFonts w:cs="Helvetica"/>
          <w:color w:val="000000"/>
          <w:sz w:val="24"/>
          <w:szCs w:val="24"/>
        </w:rPr>
        <w:t>lukio-opetukseen tasapuolisesti eivätkä lukio-opinnot olisi erityi</w:t>
      </w:r>
      <w:r w:rsidR="00557D30" w:rsidRPr="00C20855">
        <w:rPr>
          <w:rFonts w:cs="Helvetica"/>
          <w:color w:val="000000"/>
          <w:sz w:val="24"/>
          <w:szCs w:val="24"/>
        </w:rPr>
        <w:t xml:space="preserve">sesti vain tyttöjen valitsemia, </w:t>
      </w:r>
      <w:r w:rsidRPr="00C20855">
        <w:rPr>
          <w:rFonts w:cs="Helvetica"/>
          <w:color w:val="000000"/>
          <w:sz w:val="24"/>
          <w:szCs w:val="24"/>
        </w:rPr>
        <w:t>mikä valtakunnallisesti tarkasteltuna on suuntaus.</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Vertailua voitaisiin suorittaa myös ainevalintojen suhteen (sukupuolijakauma kursseilla).</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naisia miehiä</w:t>
      </w:r>
    </w:p>
    <w:p w:rsidR="003A14D3" w:rsidRPr="00C20855" w:rsidRDefault="003A14D3" w:rsidP="003A14D3">
      <w:pPr>
        <w:spacing w:after="30" w:line="240" w:lineRule="auto"/>
        <w:rPr>
          <w:rFonts w:eastAsia="Times New Roman" w:cs="Times New Roman"/>
          <w:color w:val="275FB6"/>
          <w:sz w:val="28"/>
          <w:szCs w:val="28"/>
          <w:lang w:eastAsia="fi-FI"/>
        </w:rPr>
      </w:pPr>
    </w:p>
    <w:p w:rsidR="003A14D3" w:rsidRPr="00C20855" w:rsidRDefault="003A14D3" w:rsidP="003A14D3">
      <w:pPr>
        <w:spacing w:after="30" w:line="240" w:lineRule="auto"/>
        <w:rPr>
          <w:rFonts w:eastAsia="Times New Roman" w:cs="Times New Roman"/>
          <w:color w:val="275FB6"/>
          <w:sz w:val="28"/>
          <w:szCs w:val="28"/>
          <w:lang w:eastAsia="fi-FI"/>
        </w:rPr>
      </w:pPr>
    </w:p>
    <w:p w:rsidR="003A14D3" w:rsidRPr="00C20855" w:rsidRDefault="003A14D3" w:rsidP="003A14D3">
      <w:pPr>
        <w:spacing w:after="30" w:line="240" w:lineRule="auto"/>
        <w:rPr>
          <w:rFonts w:eastAsia="Times New Roman" w:cs="Times New Roman"/>
          <w:color w:val="275FB6"/>
          <w:sz w:val="28"/>
          <w:szCs w:val="28"/>
          <w:lang w:eastAsia="fi-FI"/>
        </w:rPr>
      </w:pPr>
    </w:p>
    <w:p w:rsidR="003A14D3" w:rsidRPr="00C20855" w:rsidRDefault="003A14D3" w:rsidP="003A14D3">
      <w:pPr>
        <w:spacing w:after="30" w:line="240" w:lineRule="auto"/>
        <w:rPr>
          <w:rFonts w:eastAsia="Times New Roman" w:cs="Times New Roman"/>
          <w:color w:val="275FB6"/>
          <w:sz w:val="28"/>
          <w:szCs w:val="28"/>
          <w:lang w:eastAsia="fi-FI"/>
        </w:rPr>
      </w:pPr>
    </w:p>
    <w:p w:rsidR="003A14D3" w:rsidRPr="00C20855" w:rsidRDefault="003A14D3" w:rsidP="003A14D3">
      <w:pPr>
        <w:spacing w:after="30" w:line="240" w:lineRule="auto"/>
        <w:rPr>
          <w:rFonts w:eastAsia="Times New Roman" w:cs="Times New Roman"/>
          <w:color w:val="275FB6"/>
          <w:sz w:val="28"/>
          <w:szCs w:val="28"/>
          <w:lang w:eastAsia="fi-FI"/>
        </w:rPr>
      </w:pPr>
    </w:p>
    <w:p w:rsidR="003A14D3" w:rsidRPr="00C20855" w:rsidRDefault="003A14D3" w:rsidP="003A14D3">
      <w:pPr>
        <w:spacing w:after="30" w:line="240" w:lineRule="auto"/>
        <w:rPr>
          <w:rFonts w:eastAsia="Times New Roman" w:cs="Times New Roman"/>
          <w:color w:val="275FB6"/>
          <w:sz w:val="28"/>
          <w:szCs w:val="28"/>
          <w:lang w:eastAsia="fi-FI"/>
        </w:rPr>
      </w:pPr>
    </w:p>
    <w:p w:rsidR="003A14D3" w:rsidRPr="003A14D3" w:rsidRDefault="003A14D3" w:rsidP="003A14D3">
      <w:pPr>
        <w:spacing w:after="30" w:line="240" w:lineRule="auto"/>
        <w:rPr>
          <w:rFonts w:eastAsia="Times New Roman" w:cs="Times New Roman"/>
          <w:color w:val="275FB6"/>
          <w:sz w:val="28"/>
          <w:szCs w:val="28"/>
          <w:lang w:eastAsia="fi-FI"/>
        </w:rPr>
      </w:pPr>
      <w:r w:rsidRPr="00C20855">
        <w:rPr>
          <w:rFonts w:eastAsia="Times New Roman" w:cs="Times New Roman"/>
          <w:color w:val="275FB6"/>
          <w:sz w:val="28"/>
          <w:szCs w:val="28"/>
          <w:lang w:eastAsia="fi-FI"/>
        </w:rPr>
        <w:t>Vuosiluokkien kielivalinnat</w:t>
      </w:r>
    </w:p>
    <w:p w:rsidR="003A14D3" w:rsidRPr="003A14D3" w:rsidRDefault="003A14D3" w:rsidP="003A14D3">
      <w:pPr>
        <w:spacing w:after="0" w:line="240" w:lineRule="auto"/>
        <w:rPr>
          <w:rFonts w:eastAsia="Times New Roman" w:cs="Times New Roman"/>
          <w:sz w:val="24"/>
          <w:szCs w:val="24"/>
          <w:lang w:eastAsia="fi-FI"/>
        </w:rPr>
      </w:pPr>
      <w:r w:rsidRPr="003A14D3">
        <w:rPr>
          <w:rFonts w:eastAsia="Times New Roman" w:cs="Times New Roman"/>
          <w:sz w:val="24"/>
          <w:szCs w:val="24"/>
          <w:lang w:eastAsia="fi-FI"/>
        </w:rPr>
        <w:t>KARSTULAN LUKIO 7.1.2016</w:t>
      </w:r>
    </w:p>
    <w:tbl>
      <w:tblPr>
        <w:tblpPr w:leftFromText="45" w:rightFromText="75" w:topFromText="30" w:bottomFromText="30" w:vertAnchor="text"/>
        <w:tblW w:w="0" w:type="auto"/>
        <w:tblBorders>
          <w:top w:val="single" w:sz="12" w:space="0" w:color="444444"/>
          <w:left w:val="single" w:sz="12" w:space="0" w:color="444444"/>
          <w:bottom w:val="single" w:sz="12" w:space="0" w:color="444444"/>
          <w:right w:val="single" w:sz="12" w:space="0" w:color="444444"/>
        </w:tblBorders>
        <w:tblCellMar>
          <w:top w:w="30" w:type="dxa"/>
          <w:left w:w="0" w:type="dxa"/>
          <w:bottom w:w="30" w:type="dxa"/>
          <w:right w:w="30" w:type="dxa"/>
        </w:tblCellMar>
        <w:tblLook w:val="04A0" w:firstRow="1" w:lastRow="0" w:firstColumn="1" w:lastColumn="0" w:noHBand="0" w:noVBand="1"/>
      </w:tblPr>
      <w:tblGrid>
        <w:gridCol w:w="754"/>
        <w:gridCol w:w="1131"/>
        <w:gridCol w:w="920"/>
        <w:gridCol w:w="1131"/>
        <w:gridCol w:w="919"/>
        <w:gridCol w:w="1048"/>
        <w:gridCol w:w="918"/>
        <w:gridCol w:w="918"/>
        <w:gridCol w:w="918"/>
        <w:gridCol w:w="1131"/>
      </w:tblGrid>
      <w:tr w:rsidR="003A14D3" w:rsidRPr="003A14D3" w:rsidTr="003A14D3">
        <w:tc>
          <w:tcPr>
            <w:tcW w:w="0" w:type="auto"/>
            <w:vMerge w:val="restart"/>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p>
        </w:tc>
        <w:tc>
          <w:tcPr>
            <w:tcW w:w="0" w:type="auto"/>
            <w:gridSpan w:val="8"/>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Lukio</w:t>
            </w:r>
          </w:p>
        </w:tc>
        <w:tc>
          <w:tcPr>
            <w:tcW w:w="0" w:type="auto"/>
            <w:vMerge w:val="restart"/>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Yhteensä</w:t>
            </w:r>
          </w:p>
        </w:tc>
      </w:tr>
      <w:tr w:rsidR="003A14D3" w:rsidRPr="003A14D3" w:rsidTr="003A14D3">
        <w:tc>
          <w:tcPr>
            <w:tcW w:w="0" w:type="auto"/>
            <w:vMerge/>
            <w:tcBorders>
              <w:bottom w:val="single" w:sz="6" w:space="0" w:color="000000"/>
              <w:right w:val="single" w:sz="6" w:space="0" w:color="000000"/>
            </w:tcBorders>
            <w:tcMar>
              <w:top w:w="0" w:type="dxa"/>
              <w:left w:w="0" w:type="dxa"/>
              <w:bottom w:w="0" w:type="dxa"/>
              <w:right w:w="0" w:type="dxa"/>
            </w:tcMar>
            <w:vAlign w:val="center"/>
            <w:hideMark/>
          </w:tcPr>
          <w:p w:rsidR="003A14D3" w:rsidRPr="003A14D3" w:rsidRDefault="003A14D3" w:rsidP="003A14D3">
            <w:pPr>
              <w:spacing w:after="0" w:line="240" w:lineRule="auto"/>
              <w:rPr>
                <w:rFonts w:eastAsia="Times New Roman" w:cs="Times New Roman"/>
                <w:b/>
                <w:bCs/>
                <w:color w:val="000000"/>
                <w:sz w:val="18"/>
                <w:szCs w:val="18"/>
                <w:lang w:eastAsia="fi-FI"/>
              </w:rPr>
            </w:pPr>
          </w:p>
        </w:tc>
        <w:tc>
          <w:tcPr>
            <w:tcW w:w="0" w:type="auto"/>
            <w:gridSpan w:val="8"/>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Kieli</w:t>
            </w:r>
          </w:p>
        </w:tc>
        <w:tc>
          <w:tcPr>
            <w:tcW w:w="0" w:type="auto"/>
            <w:vMerge/>
            <w:tcBorders>
              <w:bottom w:val="single" w:sz="6" w:space="0" w:color="000000"/>
              <w:right w:val="single" w:sz="6" w:space="0" w:color="000000"/>
            </w:tcBorders>
            <w:tcMar>
              <w:top w:w="0" w:type="dxa"/>
              <w:left w:w="0" w:type="dxa"/>
              <w:bottom w:w="0" w:type="dxa"/>
              <w:right w:w="0" w:type="dxa"/>
            </w:tcMar>
            <w:vAlign w:val="center"/>
            <w:hideMark/>
          </w:tcPr>
          <w:p w:rsidR="003A14D3" w:rsidRPr="003A14D3" w:rsidRDefault="003A14D3" w:rsidP="003A14D3">
            <w:pPr>
              <w:spacing w:after="0" w:line="240" w:lineRule="auto"/>
              <w:rPr>
                <w:rFonts w:eastAsia="Times New Roman" w:cs="Times New Roman"/>
                <w:b/>
                <w:bCs/>
                <w:color w:val="000000"/>
                <w:sz w:val="18"/>
                <w:szCs w:val="18"/>
                <w:lang w:eastAsia="fi-FI"/>
              </w:rPr>
            </w:pPr>
          </w:p>
        </w:tc>
      </w:tr>
      <w:tr w:rsidR="003A14D3" w:rsidRPr="003A14D3" w:rsidTr="003A14D3">
        <w:tc>
          <w:tcPr>
            <w:tcW w:w="0" w:type="auto"/>
            <w:vMerge/>
            <w:tcBorders>
              <w:bottom w:val="single" w:sz="6" w:space="0" w:color="000000"/>
              <w:right w:val="single" w:sz="6" w:space="0" w:color="000000"/>
            </w:tcBorders>
            <w:tcMar>
              <w:top w:w="0" w:type="dxa"/>
              <w:left w:w="0" w:type="dxa"/>
              <w:bottom w:w="0" w:type="dxa"/>
              <w:right w:w="0" w:type="dxa"/>
            </w:tcMar>
            <w:vAlign w:val="center"/>
            <w:hideMark/>
          </w:tcPr>
          <w:p w:rsidR="003A14D3" w:rsidRPr="003A14D3" w:rsidRDefault="003A14D3" w:rsidP="003A14D3">
            <w:pPr>
              <w:spacing w:after="0" w:line="240" w:lineRule="auto"/>
              <w:rPr>
                <w:rFonts w:eastAsia="Times New Roman" w:cs="Times New Roman"/>
                <w:b/>
                <w:bCs/>
                <w:color w:val="000000"/>
                <w:sz w:val="18"/>
                <w:szCs w:val="18"/>
                <w:lang w:eastAsia="fi-FI"/>
              </w:rPr>
            </w:pPr>
          </w:p>
        </w:tc>
        <w:tc>
          <w:tcPr>
            <w:tcW w:w="1050"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A1</w:t>
            </w:r>
          </w:p>
        </w:tc>
        <w:tc>
          <w:tcPr>
            <w:tcW w:w="1050"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A2</w:t>
            </w:r>
          </w:p>
        </w:tc>
        <w:tc>
          <w:tcPr>
            <w:tcW w:w="1050"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B1</w:t>
            </w:r>
          </w:p>
        </w:tc>
        <w:tc>
          <w:tcPr>
            <w:tcW w:w="1050"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B2</w:t>
            </w:r>
          </w:p>
        </w:tc>
        <w:tc>
          <w:tcPr>
            <w:tcW w:w="1050"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B3</w:t>
            </w:r>
          </w:p>
        </w:tc>
        <w:tc>
          <w:tcPr>
            <w:tcW w:w="1050"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C1</w:t>
            </w:r>
          </w:p>
        </w:tc>
        <w:tc>
          <w:tcPr>
            <w:tcW w:w="1050"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C2</w:t>
            </w:r>
          </w:p>
        </w:tc>
        <w:tc>
          <w:tcPr>
            <w:tcW w:w="1050" w:type="dxa"/>
            <w:tcBorders>
              <w:bottom w:val="single" w:sz="6" w:space="0" w:color="000000"/>
              <w:right w:val="single" w:sz="6" w:space="0" w:color="000000"/>
            </w:tcBorders>
            <w:shd w:val="clear" w:color="auto" w:fill="CFCFCF"/>
            <w:tcMar>
              <w:top w:w="45" w:type="dxa"/>
              <w:left w:w="75" w:type="dxa"/>
              <w:bottom w:w="45" w:type="dxa"/>
              <w:right w:w="75" w:type="dxa"/>
            </w:tcMar>
            <w:vAlign w:val="bottom"/>
            <w:hideMark/>
          </w:tcPr>
          <w:p w:rsidR="003A14D3" w:rsidRPr="003A14D3" w:rsidRDefault="003A14D3" w:rsidP="003A14D3">
            <w:pPr>
              <w:spacing w:after="0" w:line="240" w:lineRule="auto"/>
              <w:jc w:val="center"/>
              <w:rPr>
                <w:rFonts w:eastAsia="Times New Roman" w:cs="Times New Roman"/>
                <w:b/>
                <w:bCs/>
                <w:color w:val="000000"/>
                <w:sz w:val="18"/>
                <w:szCs w:val="18"/>
                <w:lang w:eastAsia="fi-FI"/>
              </w:rPr>
            </w:pPr>
            <w:r w:rsidRPr="003A14D3">
              <w:rPr>
                <w:rFonts w:eastAsia="Times New Roman" w:cs="Times New Roman"/>
                <w:b/>
                <w:bCs/>
                <w:color w:val="000000"/>
                <w:sz w:val="18"/>
                <w:szCs w:val="18"/>
                <w:lang w:eastAsia="fi-FI"/>
              </w:rPr>
              <w:t>C3</w:t>
            </w:r>
          </w:p>
        </w:tc>
        <w:tc>
          <w:tcPr>
            <w:tcW w:w="0" w:type="auto"/>
            <w:vMerge/>
            <w:tcBorders>
              <w:bottom w:val="single" w:sz="6" w:space="0" w:color="000000"/>
              <w:right w:val="single" w:sz="6" w:space="0" w:color="000000"/>
            </w:tcBorders>
            <w:tcMar>
              <w:top w:w="0" w:type="dxa"/>
              <w:left w:w="0" w:type="dxa"/>
              <w:bottom w:w="0" w:type="dxa"/>
              <w:right w:w="0" w:type="dxa"/>
            </w:tcMar>
            <w:vAlign w:val="center"/>
            <w:hideMark/>
          </w:tcPr>
          <w:p w:rsidR="003A14D3" w:rsidRPr="003A14D3" w:rsidRDefault="003A14D3" w:rsidP="003A14D3">
            <w:pPr>
              <w:spacing w:after="0" w:line="240" w:lineRule="auto"/>
              <w:rPr>
                <w:rFonts w:eastAsia="Times New Roman" w:cs="Times New Roman"/>
                <w:b/>
                <w:bCs/>
                <w:color w:val="000000"/>
                <w:sz w:val="18"/>
                <w:szCs w:val="18"/>
                <w:lang w:eastAsia="fi-FI"/>
              </w:rPr>
            </w:pPr>
          </w:p>
        </w:tc>
      </w:tr>
      <w:tr w:rsidR="003A14D3" w:rsidRPr="003A14D3" w:rsidTr="003A14D3">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Englanti</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44</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59</w:t>
            </w:r>
            <w:r w:rsidRPr="003A14D3">
              <w:rPr>
                <w:rFonts w:eastAsia="Times New Roman" w:cs="Times New Roman"/>
                <w:sz w:val="18"/>
                <w:szCs w:val="18"/>
                <w:lang w:eastAsia="fi-FI"/>
              </w:rPr>
              <w:t> = 103</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44</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59</w:t>
            </w:r>
            <w:r w:rsidRPr="003A14D3">
              <w:rPr>
                <w:rFonts w:eastAsia="Times New Roman" w:cs="Times New Roman"/>
                <w:sz w:val="18"/>
                <w:szCs w:val="18"/>
                <w:lang w:eastAsia="fi-FI"/>
              </w:rPr>
              <w:t> = 103</w:t>
            </w:r>
          </w:p>
        </w:tc>
      </w:tr>
      <w:tr w:rsidR="003A14D3" w:rsidRPr="003A14D3" w:rsidTr="003A14D3">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Ruotsi</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44</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59</w:t>
            </w:r>
            <w:r w:rsidRPr="003A14D3">
              <w:rPr>
                <w:rFonts w:eastAsia="Times New Roman" w:cs="Times New Roman"/>
                <w:sz w:val="18"/>
                <w:szCs w:val="18"/>
                <w:lang w:eastAsia="fi-FI"/>
              </w:rPr>
              <w:t> = 103</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44</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59</w:t>
            </w:r>
            <w:r w:rsidRPr="003A14D3">
              <w:rPr>
                <w:rFonts w:eastAsia="Times New Roman" w:cs="Times New Roman"/>
                <w:sz w:val="18"/>
                <w:szCs w:val="18"/>
                <w:lang w:eastAsia="fi-FI"/>
              </w:rPr>
              <w:t> = 103</w:t>
            </w:r>
          </w:p>
        </w:tc>
      </w:tr>
      <w:tr w:rsidR="003A14D3" w:rsidRPr="003A14D3" w:rsidTr="003A14D3">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Suomi</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r>
      <w:tr w:rsidR="003A14D3" w:rsidRPr="003A14D3" w:rsidTr="003A14D3">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Ranska</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4</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18</w:t>
            </w:r>
            <w:r w:rsidRPr="003A14D3">
              <w:rPr>
                <w:rFonts w:eastAsia="Times New Roman" w:cs="Times New Roman"/>
                <w:sz w:val="18"/>
                <w:szCs w:val="18"/>
                <w:lang w:eastAsia="fi-FI"/>
              </w:rPr>
              <w:t> = 22</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4</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18</w:t>
            </w:r>
            <w:r w:rsidRPr="003A14D3">
              <w:rPr>
                <w:rFonts w:eastAsia="Times New Roman" w:cs="Times New Roman"/>
                <w:sz w:val="18"/>
                <w:szCs w:val="18"/>
                <w:lang w:eastAsia="fi-FI"/>
              </w:rPr>
              <w:t> = 22</w:t>
            </w:r>
          </w:p>
        </w:tc>
      </w:tr>
      <w:tr w:rsidR="003A14D3" w:rsidRPr="003A14D3" w:rsidTr="003A14D3">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Saksa</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12</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6</w:t>
            </w:r>
            <w:r w:rsidRPr="003A14D3">
              <w:rPr>
                <w:rFonts w:eastAsia="Times New Roman" w:cs="Times New Roman"/>
                <w:sz w:val="18"/>
                <w:szCs w:val="18"/>
                <w:lang w:eastAsia="fi-FI"/>
              </w:rPr>
              <w:t> = 18</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12</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6</w:t>
            </w:r>
            <w:r w:rsidRPr="003A14D3">
              <w:rPr>
                <w:rFonts w:eastAsia="Times New Roman" w:cs="Times New Roman"/>
                <w:sz w:val="18"/>
                <w:szCs w:val="18"/>
                <w:lang w:eastAsia="fi-FI"/>
              </w:rPr>
              <w:t> = 18</w:t>
            </w:r>
          </w:p>
        </w:tc>
      </w:tr>
      <w:tr w:rsidR="003A14D3" w:rsidRPr="003A14D3" w:rsidTr="003A14D3">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Venäjä</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18</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17</w:t>
            </w:r>
            <w:r w:rsidRPr="003A14D3">
              <w:rPr>
                <w:rFonts w:eastAsia="Times New Roman" w:cs="Times New Roman"/>
                <w:sz w:val="18"/>
                <w:szCs w:val="18"/>
                <w:lang w:eastAsia="fi-FI"/>
              </w:rPr>
              <w:t> = 35</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18</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17</w:t>
            </w:r>
            <w:r w:rsidRPr="003A14D3">
              <w:rPr>
                <w:rFonts w:eastAsia="Times New Roman" w:cs="Times New Roman"/>
                <w:sz w:val="18"/>
                <w:szCs w:val="18"/>
                <w:lang w:eastAsia="fi-FI"/>
              </w:rPr>
              <w:t> = 35</w:t>
            </w:r>
          </w:p>
        </w:tc>
      </w:tr>
      <w:tr w:rsidR="003A14D3" w:rsidRPr="003A14D3" w:rsidTr="003A14D3">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Saame</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r>
      <w:tr w:rsidR="003A14D3" w:rsidRPr="003A14D3" w:rsidTr="003A14D3">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Latina</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r>
      <w:tr w:rsidR="003A14D3" w:rsidRPr="003A14D3" w:rsidTr="003A14D3">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Italia</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r>
      <w:tr w:rsidR="003A14D3" w:rsidRPr="003A14D3" w:rsidTr="003A14D3">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Espanja</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1</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30</w:t>
            </w:r>
            <w:r w:rsidRPr="003A14D3">
              <w:rPr>
                <w:rFonts w:eastAsia="Times New Roman" w:cs="Times New Roman"/>
                <w:sz w:val="18"/>
                <w:szCs w:val="18"/>
                <w:lang w:eastAsia="fi-FI"/>
              </w:rPr>
              <w:t> = 31</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color w:val="0000FF"/>
                <w:sz w:val="18"/>
                <w:szCs w:val="18"/>
                <w:lang w:eastAsia="fi-FI"/>
              </w:rPr>
              <w:t>1</w:t>
            </w:r>
            <w:r w:rsidRPr="003A14D3">
              <w:rPr>
                <w:rFonts w:eastAsia="Times New Roman" w:cs="Times New Roman"/>
                <w:sz w:val="18"/>
                <w:szCs w:val="18"/>
                <w:lang w:eastAsia="fi-FI"/>
              </w:rPr>
              <w:t> + </w:t>
            </w:r>
            <w:r w:rsidRPr="003A14D3">
              <w:rPr>
                <w:rFonts w:eastAsia="Times New Roman" w:cs="Times New Roman"/>
                <w:color w:val="FF0000"/>
                <w:sz w:val="18"/>
                <w:szCs w:val="18"/>
                <w:lang w:eastAsia="fi-FI"/>
              </w:rPr>
              <w:t>30</w:t>
            </w:r>
            <w:r w:rsidRPr="003A14D3">
              <w:rPr>
                <w:rFonts w:eastAsia="Times New Roman" w:cs="Times New Roman"/>
                <w:sz w:val="18"/>
                <w:szCs w:val="18"/>
                <w:lang w:eastAsia="fi-FI"/>
              </w:rPr>
              <w:t> = 31</w:t>
            </w:r>
          </w:p>
        </w:tc>
      </w:tr>
      <w:tr w:rsidR="003A14D3" w:rsidRPr="003A14D3" w:rsidTr="003A14D3">
        <w:tc>
          <w:tcPr>
            <w:tcW w:w="0" w:type="auto"/>
            <w:tcBorders>
              <w:bottom w:val="single" w:sz="2" w:space="0" w:color="FFFFFF"/>
              <w:right w:val="single" w:sz="6" w:space="0" w:color="000000"/>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rPr>
                <w:rFonts w:eastAsia="Times New Roman" w:cs="Times New Roman"/>
                <w:sz w:val="18"/>
                <w:szCs w:val="18"/>
                <w:lang w:eastAsia="fi-FI"/>
              </w:rPr>
            </w:pPr>
            <w:r w:rsidRPr="003A14D3">
              <w:rPr>
                <w:rFonts w:eastAsia="Times New Roman" w:cs="Times New Roman"/>
                <w:sz w:val="18"/>
                <w:szCs w:val="18"/>
                <w:lang w:eastAsia="fi-FI"/>
              </w:rPr>
              <w:t>Muut kielet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999999"/>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c>
          <w:tcPr>
            <w:tcW w:w="0" w:type="auto"/>
            <w:tcBorders>
              <w:bottom w:val="single" w:sz="2" w:space="0" w:color="FFFFFF"/>
              <w:right w:val="single" w:sz="6" w:space="0" w:color="FFFFFF"/>
            </w:tcBorders>
            <w:shd w:val="clear" w:color="auto" w:fill="FFFFFF"/>
            <w:tcMar>
              <w:top w:w="45" w:type="dxa"/>
              <w:left w:w="75" w:type="dxa"/>
              <w:bottom w:w="45" w:type="dxa"/>
              <w:right w:w="75" w:type="dxa"/>
            </w:tcMar>
            <w:vAlign w:val="center"/>
            <w:hideMark/>
          </w:tcPr>
          <w:p w:rsidR="003A14D3" w:rsidRPr="003A14D3" w:rsidRDefault="003A14D3" w:rsidP="003A14D3">
            <w:pPr>
              <w:spacing w:after="0" w:line="240" w:lineRule="auto"/>
              <w:jc w:val="center"/>
              <w:rPr>
                <w:rFonts w:eastAsia="Times New Roman" w:cs="Times New Roman"/>
                <w:sz w:val="18"/>
                <w:szCs w:val="18"/>
                <w:lang w:eastAsia="fi-FI"/>
              </w:rPr>
            </w:pPr>
            <w:r w:rsidRPr="003A14D3">
              <w:rPr>
                <w:rFonts w:eastAsia="Times New Roman" w:cs="Times New Roman"/>
                <w:sz w:val="18"/>
                <w:szCs w:val="18"/>
                <w:lang w:eastAsia="fi-FI"/>
              </w:rPr>
              <w:t>-</w:t>
            </w:r>
          </w:p>
        </w:tc>
      </w:tr>
      <w:tr w:rsidR="003A14D3" w:rsidRPr="003A14D3" w:rsidTr="003A14D3">
        <w:tc>
          <w:tcPr>
            <w:tcW w:w="0" w:type="auto"/>
            <w:tcBorders>
              <w:bottom w:val="single" w:sz="2" w:space="0" w:color="FFFFFF"/>
              <w:right w:val="single" w:sz="6" w:space="0" w:color="000000"/>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80" w:lineRule="atLeast"/>
              <w:rPr>
                <w:rFonts w:eastAsia="Times New Roman" w:cs="Times New Roman"/>
                <w:color w:val="000000"/>
                <w:sz w:val="18"/>
                <w:szCs w:val="18"/>
                <w:lang w:eastAsia="fi-FI"/>
              </w:rPr>
            </w:pPr>
            <w:r w:rsidRPr="003A14D3">
              <w:rPr>
                <w:rFonts w:eastAsia="Times New Roman" w:cs="Times New Roman"/>
                <w:color w:val="000000"/>
                <w:sz w:val="18"/>
                <w:szCs w:val="18"/>
                <w:lang w:eastAsia="fi-FI"/>
              </w:rPr>
              <w:t>Eivät opiskele yhteistä kieltä</w:t>
            </w: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80" w:lineRule="atLeast"/>
              <w:jc w:val="center"/>
              <w:rPr>
                <w:rFonts w:eastAsia="Times New Roman" w:cs="Times New Roman"/>
                <w:color w:val="000000"/>
                <w:sz w:val="18"/>
                <w:szCs w:val="18"/>
                <w:lang w:eastAsia="fi-FI"/>
              </w:rPr>
            </w:pPr>
            <w:r w:rsidRPr="003A14D3">
              <w:rPr>
                <w:rFonts w:eastAsia="Times New Roman" w:cs="Times New Roman"/>
                <w:color w:val="0000FF"/>
                <w:sz w:val="18"/>
                <w:szCs w:val="18"/>
                <w:lang w:eastAsia="fi-FI"/>
              </w:rPr>
              <w:t>7</w:t>
            </w:r>
            <w:r w:rsidRPr="003A14D3">
              <w:rPr>
                <w:rFonts w:eastAsia="Times New Roman" w:cs="Times New Roman"/>
                <w:color w:val="000000"/>
                <w:sz w:val="18"/>
                <w:szCs w:val="18"/>
                <w:lang w:eastAsia="fi-FI"/>
              </w:rPr>
              <w:t> + </w:t>
            </w:r>
            <w:r w:rsidRPr="003A14D3">
              <w:rPr>
                <w:rFonts w:eastAsia="Times New Roman" w:cs="Times New Roman"/>
                <w:color w:val="FF0000"/>
                <w:sz w:val="18"/>
                <w:szCs w:val="18"/>
                <w:lang w:eastAsia="fi-FI"/>
              </w:rPr>
              <w:t>3</w:t>
            </w:r>
            <w:r w:rsidRPr="003A14D3">
              <w:rPr>
                <w:rFonts w:eastAsia="Times New Roman" w:cs="Times New Roman"/>
                <w:color w:val="000000"/>
                <w:sz w:val="18"/>
                <w:szCs w:val="18"/>
                <w:lang w:eastAsia="fi-FI"/>
              </w:rPr>
              <w:t> = 10</w:t>
            </w:r>
          </w:p>
        </w:tc>
        <w:tc>
          <w:tcPr>
            <w:tcW w:w="0" w:type="auto"/>
            <w:tcBorders>
              <w:bottom w:val="single" w:sz="2" w:space="0" w:color="FFFFFF"/>
              <w:right w:val="single" w:sz="6" w:space="0" w:color="999999"/>
            </w:tcBorders>
            <w:shd w:val="clear" w:color="auto" w:fill="CFCFCF"/>
            <w:tcMar>
              <w:top w:w="45" w:type="dxa"/>
              <w:left w:w="75" w:type="dxa"/>
              <w:bottom w:w="45" w:type="dxa"/>
              <w:right w:w="75" w:type="dxa"/>
            </w:tcMar>
            <w:vAlign w:val="center"/>
            <w:hideMark/>
          </w:tcPr>
          <w:p w:rsidR="003A14D3" w:rsidRPr="003A14D3" w:rsidRDefault="003A14D3" w:rsidP="003A14D3">
            <w:pPr>
              <w:spacing w:after="0" w:line="280" w:lineRule="atLeast"/>
              <w:jc w:val="center"/>
              <w:rPr>
                <w:rFonts w:eastAsia="Times New Roman" w:cs="Times New Roman"/>
                <w:color w:val="000000"/>
                <w:sz w:val="18"/>
                <w:szCs w:val="18"/>
                <w:lang w:eastAsia="fi-FI"/>
              </w:rPr>
            </w:pPr>
          </w:p>
        </w:tc>
        <w:tc>
          <w:tcPr>
            <w:tcW w:w="0" w:type="auto"/>
            <w:tcBorders>
              <w:bottom w:val="single" w:sz="2" w:space="0" w:color="FFFFFF"/>
              <w:right w:val="single" w:sz="6" w:space="0" w:color="999999"/>
            </w:tcBorders>
            <w:shd w:val="clear" w:color="auto" w:fill="E6E6FF"/>
            <w:tcMar>
              <w:top w:w="45" w:type="dxa"/>
              <w:left w:w="75" w:type="dxa"/>
              <w:bottom w:w="45" w:type="dxa"/>
              <w:right w:w="75" w:type="dxa"/>
            </w:tcMar>
            <w:vAlign w:val="center"/>
            <w:hideMark/>
          </w:tcPr>
          <w:p w:rsidR="003A14D3" w:rsidRPr="003A14D3" w:rsidRDefault="003A14D3" w:rsidP="003A14D3">
            <w:pPr>
              <w:spacing w:after="0" w:line="280" w:lineRule="atLeast"/>
              <w:jc w:val="center"/>
              <w:rPr>
                <w:rFonts w:eastAsia="Times New Roman" w:cs="Times New Roman"/>
                <w:color w:val="000000"/>
                <w:sz w:val="18"/>
                <w:szCs w:val="18"/>
                <w:lang w:eastAsia="fi-FI"/>
              </w:rPr>
            </w:pPr>
            <w:r w:rsidRPr="003A14D3">
              <w:rPr>
                <w:rFonts w:eastAsia="Times New Roman" w:cs="Times New Roman"/>
                <w:color w:val="0000FF"/>
                <w:sz w:val="18"/>
                <w:szCs w:val="18"/>
                <w:lang w:eastAsia="fi-FI"/>
              </w:rPr>
              <w:t>7</w:t>
            </w:r>
            <w:r w:rsidRPr="003A14D3">
              <w:rPr>
                <w:rFonts w:eastAsia="Times New Roman" w:cs="Times New Roman"/>
                <w:color w:val="000000"/>
                <w:sz w:val="18"/>
                <w:szCs w:val="18"/>
                <w:lang w:eastAsia="fi-FI"/>
              </w:rPr>
              <w:t> + </w:t>
            </w:r>
            <w:r w:rsidRPr="003A14D3">
              <w:rPr>
                <w:rFonts w:eastAsia="Times New Roman" w:cs="Times New Roman"/>
                <w:color w:val="FF0000"/>
                <w:sz w:val="18"/>
                <w:szCs w:val="18"/>
                <w:lang w:eastAsia="fi-FI"/>
              </w:rPr>
              <w:t>3</w:t>
            </w:r>
            <w:r w:rsidRPr="003A14D3">
              <w:rPr>
                <w:rFonts w:eastAsia="Times New Roman" w:cs="Times New Roman"/>
                <w:color w:val="000000"/>
                <w:sz w:val="18"/>
                <w:szCs w:val="18"/>
                <w:lang w:eastAsia="fi-FI"/>
              </w:rPr>
              <w:t> = 10</w:t>
            </w:r>
          </w:p>
        </w:tc>
        <w:tc>
          <w:tcPr>
            <w:tcW w:w="0" w:type="auto"/>
            <w:tcBorders>
              <w:bottom w:val="single" w:sz="2" w:space="0" w:color="FFFFFF"/>
              <w:right w:val="single" w:sz="6" w:space="0" w:color="999999"/>
            </w:tcBorders>
            <w:shd w:val="clear" w:color="auto" w:fill="CFCFCF"/>
            <w:tcMar>
              <w:top w:w="45" w:type="dxa"/>
              <w:left w:w="75" w:type="dxa"/>
              <w:bottom w:w="45" w:type="dxa"/>
              <w:right w:w="75" w:type="dxa"/>
            </w:tcMar>
            <w:vAlign w:val="center"/>
            <w:hideMark/>
          </w:tcPr>
          <w:p w:rsidR="003A14D3" w:rsidRPr="003A14D3" w:rsidRDefault="003A14D3" w:rsidP="003A14D3">
            <w:pPr>
              <w:spacing w:after="0" w:line="280" w:lineRule="atLeast"/>
              <w:jc w:val="center"/>
              <w:rPr>
                <w:rFonts w:eastAsia="Times New Roman" w:cs="Times New Roman"/>
                <w:color w:val="000000"/>
                <w:sz w:val="18"/>
                <w:szCs w:val="18"/>
                <w:lang w:eastAsia="fi-FI"/>
              </w:rPr>
            </w:pPr>
          </w:p>
        </w:tc>
        <w:tc>
          <w:tcPr>
            <w:tcW w:w="0" w:type="auto"/>
            <w:tcBorders>
              <w:bottom w:val="single" w:sz="2" w:space="0" w:color="FFFFFF"/>
              <w:right w:val="single" w:sz="6" w:space="0" w:color="999999"/>
            </w:tcBorders>
            <w:shd w:val="clear" w:color="auto" w:fill="CFCFCF"/>
            <w:tcMar>
              <w:top w:w="45" w:type="dxa"/>
              <w:left w:w="75" w:type="dxa"/>
              <w:bottom w:w="45" w:type="dxa"/>
              <w:right w:w="75" w:type="dxa"/>
            </w:tcMar>
            <w:vAlign w:val="center"/>
            <w:hideMark/>
          </w:tcPr>
          <w:p w:rsidR="003A14D3" w:rsidRPr="003A14D3" w:rsidRDefault="003A14D3" w:rsidP="003A14D3">
            <w:pPr>
              <w:spacing w:after="0" w:line="280" w:lineRule="atLeast"/>
              <w:jc w:val="center"/>
              <w:rPr>
                <w:rFonts w:eastAsia="Times New Roman" w:cs="Times New Roman"/>
                <w:color w:val="000000"/>
                <w:sz w:val="18"/>
                <w:szCs w:val="18"/>
                <w:lang w:eastAsia="fi-FI"/>
              </w:rPr>
            </w:pPr>
          </w:p>
        </w:tc>
        <w:tc>
          <w:tcPr>
            <w:tcW w:w="0" w:type="auto"/>
            <w:tcBorders>
              <w:bottom w:val="single" w:sz="2" w:space="0" w:color="FFFFFF"/>
              <w:right w:val="single" w:sz="6" w:space="0" w:color="999999"/>
            </w:tcBorders>
            <w:shd w:val="clear" w:color="auto" w:fill="CFCFCF"/>
            <w:tcMar>
              <w:top w:w="45" w:type="dxa"/>
              <w:left w:w="75" w:type="dxa"/>
              <w:bottom w:w="45" w:type="dxa"/>
              <w:right w:w="75" w:type="dxa"/>
            </w:tcMar>
            <w:vAlign w:val="center"/>
            <w:hideMark/>
          </w:tcPr>
          <w:p w:rsidR="003A14D3" w:rsidRPr="003A14D3" w:rsidRDefault="003A14D3" w:rsidP="003A14D3">
            <w:pPr>
              <w:spacing w:after="0" w:line="280" w:lineRule="atLeast"/>
              <w:jc w:val="center"/>
              <w:rPr>
                <w:rFonts w:eastAsia="Times New Roman" w:cs="Times New Roman"/>
                <w:color w:val="000000"/>
                <w:sz w:val="18"/>
                <w:szCs w:val="18"/>
                <w:lang w:eastAsia="fi-FI"/>
              </w:rPr>
            </w:pPr>
            <w:r w:rsidRPr="003A14D3">
              <w:rPr>
                <w:rFonts w:eastAsia="Times New Roman" w:cs="Times New Roman"/>
                <w:sz w:val="24"/>
                <w:szCs w:val="24"/>
                <w:lang w:eastAsia="fi-FI"/>
              </w:rPr>
              <w:br/>
            </w:r>
          </w:p>
        </w:tc>
        <w:tc>
          <w:tcPr>
            <w:tcW w:w="0" w:type="auto"/>
            <w:tcMar>
              <w:top w:w="0" w:type="dxa"/>
              <w:left w:w="0" w:type="dxa"/>
              <w:bottom w:w="0" w:type="dxa"/>
              <w:right w:w="0" w:type="dxa"/>
            </w:tcMar>
            <w:vAlign w:val="center"/>
            <w:hideMark/>
          </w:tcPr>
          <w:p w:rsidR="003A14D3" w:rsidRPr="003A14D3" w:rsidRDefault="003A14D3" w:rsidP="003A14D3">
            <w:pPr>
              <w:spacing w:after="0" w:line="240" w:lineRule="auto"/>
              <w:rPr>
                <w:rFonts w:eastAsia="Times New Roman" w:cs="Times New Roman"/>
                <w:sz w:val="20"/>
                <w:szCs w:val="20"/>
                <w:lang w:eastAsia="fi-FI"/>
              </w:rPr>
            </w:pPr>
          </w:p>
        </w:tc>
        <w:tc>
          <w:tcPr>
            <w:tcW w:w="0" w:type="auto"/>
            <w:tcMar>
              <w:top w:w="0" w:type="dxa"/>
              <w:left w:w="0" w:type="dxa"/>
              <w:bottom w:w="0" w:type="dxa"/>
              <w:right w:w="0" w:type="dxa"/>
            </w:tcMar>
            <w:vAlign w:val="center"/>
            <w:hideMark/>
          </w:tcPr>
          <w:p w:rsidR="003A14D3" w:rsidRPr="003A14D3" w:rsidRDefault="003A14D3" w:rsidP="003A14D3">
            <w:pPr>
              <w:spacing w:after="0" w:line="240" w:lineRule="auto"/>
              <w:rPr>
                <w:rFonts w:eastAsia="Times New Roman" w:cs="Times New Roman"/>
                <w:sz w:val="20"/>
                <w:szCs w:val="20"/>
                <w:lang w:eastAsia="fi-FI"/>
              </w:rPr>
            </w:pPr>
          </w:p>
        </w:tc>
        <w:tc>
          <w:tcPr>
            <w:tcW w:w="0" w:type="auto"/>
            <w:tcMar>
              <w:top w:w="0" w:type="dxa"/>
              <w:left w:w="0" w:type="dxa"/>
              <w:bottom w:w="0" w:type="dxa"/>
              <w:right w:w="0" w:type="dxa"/>
            </w:tcMar>
            <w:vAlign w:val="center"/>
            <w:hideMark/>
          </w:tcPr>
          <w:p w:rsidR="003A14D3" w:rsidRPr="003A14D3" w:rsidRDefault="003A14D3" w:rsidP="003A14D3">
            <w:pPr>
              <w:spacing w:after="0" w:line="240" w:lineRule="auto"/>
              <w:rPr>
                <w:rFonts w:eastAsia="Times New Roman" w:cs="Times New Roman"/>
                <w:sz w:val="20"/>
                <w:szCs w:val="20"/>
                <w:lang w:eastAsia="fi-FI"/>
              </w:rPr>
            </w:pPr>
          </w:p>
        </w:tc>
      </w:tr>
    </w:tbl>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Kuinka moni naisista / miehistä valitsee ko. aineen: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naisista miehistä</w:t>
      </w:r>
    </w:p>
    <w:p w:rsidR="00A46FA6" w:rsidRPr="00C20855" w:rsidRDefault="00557D30"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Karstul</w:t>
      </w:r>
      <w:r w:rsidR="00A46FA6" w:rsidRPr="00C20855">
        <w:rPr>
          <w:rFonts w:cs="Helvetica"/>
          <w:color w:val="000000"/>
          <w:sz w:val="24"/>
          <w:szCs w:val="24"/>
        </w:rPr>
        <w:t xml:space="preserve">an lukion kurssitarjonta pyritään pitämään monipuolisena, </w:t>
      </w:r>
      <w:r w:rsidRPr="00C20855">
        <w:rPr>
          <w:rFonts w:cs="Helvetica"/>
          <w:color w:val="000000"/>
          <w:sz w:val="24"/>
          <w:szCs w:val="24"/>
        </w:rPr>
        <w:t xml:space="preserve">jotta eri tavoin orientoituneet </w:t>
      </w:r>
      <w:r w:rsidR="00A46FA6" w:rsidRPr="00C20855">
        <w:rPr>
          <w:rFonts w:cs="Helvetica"/>
          <w:color w:val="000000"/>
          <w:sz w:val="24"/>
          <w:szCs w:val="24"/>
        </w:rPr>
        <w:t>opiskelijat voisivat vapaasti valita sen opinahjokseen.</w:t>
      </w:r>
    </w:p>
    <w:p w:rsidR="00A46FA6" w:rsidRPr="00C20855" w:rsidRDefault="00A46FA6" w:rsidP="00A46FA6">
      <w:pPr>
        <w:autoSpaceDE w:val="0"/>
        <w:autoSpaceDN w:val="0"/>
        <w:adjustRightInd w:val="0"/>
        <w:spacing w:after="0" w:line="240" w:lineRule="auto"/>
        <w:rPr>
          <w:rFonts w:cs="Helvetica-Bold"/>
          <w:b/>
          <w:bCs/>
          <w:color w:val="000000"/>
          <w:sz w:val="26"/>
          <w:szCs w:val="26"/>
        </w:rPr>
      </w:pPr>
      <w:r w:rsidRPr="00C20855">
        <w:rPr>
          <w:rFonts w:cs="Helvetica-Bold"/>
          <w:b/>
          <w:bCs/>
          <w:color w:val="000000"/>
          <w:sz w:val="26"/>
          <w:szCs w:val="26"/>
        </w:rPr>
        <w:t>10. Tasa-arvosuunnitelmasta tiedottaminen</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Tasa-arvosuunnitelman tavoitteita pidetään esillä sopivissa tilaisuuksissa, kuten esim.</w:t>
      </w:r>
    </w:p>
    <w:p w:rsidR="00A46FA6" w:rsidRPr="00C20855" w:rsidRDefault="00A46FA6" w:rsidP="00A46FA6">
      <w:pPr>
        <w:autoSpaceDE w:val="0"/>
        <w:autoSpaceDN w:val="0"/>
        <w:adjustRightInd w:val="0"/>
        <w:spacing w:after="0" w:line="240" w:lineRule="auto"/>
        <w:rPr>
          <w:rFonts w:cs="Helvetica"/>
          <w:color w:val="000000"/>
          <w:sz w:val="24"/>
          <w:szCs w:val="24"/>
        </w:rPr>
      </w:pPr>
      <w:r w:rsidRPr="00C20855">
        <w:rPr>
          <w:rFonts w:cs="Helvetica"/>
          <w:color w:val="000000"/>
          <w:sz w:val="24"/>
          <w:szCs w:val="24"/>
        </w:rPr>
        <w:t>opettajainkokouksissa ja opiskelijoiden ryhmänohjaustilaisuuksissa. Lukion kotisivujen</w:t>
      </w:r>
    </w:p>
    <w:p w:rsidR="00ED5004" w:rsidRPr="00C20855" w:rsidRDefault="00A46FA6" w:rsidP="00557D30">
      <w:pPr>
        <w:autoSpaceDE w:val="0"/>
        <w:autoSpaceDN w:val="0"/>
        <w:adjustRightInd w:val="0"/>
        <w:spacing w:after="0" w:line="240" w:lineRule="auto"/>
        <w:rPr>
          <w:rFonts w:cs="Helvetica"/>
          <w:color w:val="000000"/>
          <w:sz w:val="24"/>
          <w:szCs w:val="24"/>
        </w:rPr>
      </w:pPr>
      <w:r w:rsidRPr="00C20855">
        <w:rPr>
          <w:rFonts w:cs="Helvetica"/>
          <w:color w:val="000000"/>
          <w:sz w:val="24"/>
          <w:szCs w:val="24"/>
        </w:rPr>
        <w:t>kautta internetissä tavoitetaan koko henkilökunnan ja opiskelijoi</w:t>
      </w:r>
      <w:r w:rsidR="00557D30" w:rsidRPr="00C20855">
        <w:rPr>
          <w:rFonts w:cs="Helvetica"/>
          <w:color w:val="000000"/>
          <w:sz w:val="24"/>
          <w:szCs w:val="24"/>
        </w:rPr>
        <w:t xml:space="preserve">den lisäksi myös opiskelijoiden </w:t>
      </w:r>
      <w:r w:rsidRPr="00C20855">
        <w:rPr>
          <w:rFonts w:cs="Helvetica"/>
          <w:color w:val="000000"/>
          <w:sz w:val="24"/>
          <w:szCs w:val="24"/>
        </w:rPr>
        <w:t>huoltajat. Myös huoltajaillat muodostavat yhden tiedonvälityskanavan.</w:t>
      </w:r>
    </w:p>
    <w:sectPr w:rsidR="00ED5004" w:rsidRPr="00C2085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BoldOblique">
    <w:panose1 w:val="00000000000000000000"/>
    <w:charset w:val="00"/>
    <w:family w:val="roman"/>
    <w:notTrueType/>
    <w:pitch w:val="default"/>
    <w:sig w:usb0="00000003" w:usb1="00000000" w:usb2="00000000" w:usb3="00000000" w:csb0="00000001" w:csb1="00000000"/>
  </w:font>
  <w:font w:name="Helvetica-Obliqu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FA6"/>
    <w:rsid w:val="000365EA"/>
    <w:rsid w:val="000C5504"/>
    <w:rsid w:val="00143A39"/>
    <w:rsid w:val="001B072C"/>
    <w:rsid w:val="001C2B9C"/>
    <w:rsid w:val="0020513D"/>
    <w:rsid w:val="00285F86"/>
    <w:rsid w:val="003A14D3"/>
    <w:rsid w:val="004E3795"/>
    <w:rsid w:val="00557D30"/>
    <w:rsid w:val="005664D9"/>
    <w:rsid w:val="005D14F5"/>
    <w:rsid w:val="005F0E4D"/>
    <w:rsid w:val="005F327C"/>
    <w:rsid w:val="00600DF4"/>
    <w:rsid w:val="0066441F"/>
    <w:rsid w:val="00867C1E"/>
    <w:rsid w:val="00974928"/>
    <w:rsid w:val="009A7E19"/>
    <w:rsid w:val="00A46FA6"/>
    <w:rsid w:val="00A6218F"/>
    <w:rsid w:val="00A73D4B"/>
    <w:rsid w:val="00B70EB6"/>
    <w:rsid w:val="00B97A3F"/>
    <w:rsid w:val="00C20855"/>
    <w:rsid w:val="00C31A11"/>
    <w:rsid w:val="00E0261B"/>
    <w:rsid w:val="00E0317A"/>
    <w:rsid w:val="00ED5004"/>
    <w:rsid w:val="00ED6EBF"/>
    <w:rsid w:val="00F85C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ohcontenttitlespan">
    <w:name w:val="hoh_content_title_span"/>
    <w:basedOn w:val="Kappaleenoletusfontti"/>
    <w:rsid w:val="003A1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ohcontenttitlespan">
    <w:name w:val="hoh_content_title_span"/>
    <w:basedOn w:val="Kappaleenoletusfontti"/>
    <w:rsid w:val="003A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87467">
      <w:bodyDiv w:val="1"/>
      <w:marLeft w:val="0"/>
      <w:marRight w:val="0"/>
      <w:marTop w:val="0"/>
      <w:marBottom w:val="0"/>
      <w:divBdr>
        <w:top w:val="none" w:sz="0" w:space="0" w:color="auto"/>
        <w:left w:val="none" w:sz="0" w:space="0" w:color="auto"/>
        <w:bottom w:val="none" w:sz="0" w:space="0" w:color="auto"/>
        <w:right w:val="none" w:sz="0" w:space="0" w:color="auto"/>
      </w:divBdr>
      <w:divsChild>
        <w:div w:id="1126117663">
          <w:marLeft w:val="0"/>
          <w:marRight w:val="0"/>
          <w:marTop w:val="75"/>
          <w:marBottom w:val="30"/>
          <w:divBdr>
            <w:top w:val="none" w:sz="0" w:space="0" w:color="auto"/>
            <w:left w:val="none" w:sz="0" w:space="0" w:color="auto"/>
            <w:bottom w:val="none" w:sz="0" w:space="0" w:color="auto"/>
            <w:right w:val="none" w:sz="0" w:space="0" w:color="auto"/>
          </w:divBdr>
        </w:div>
        <w:div w:id="27611916">
          <w:marLeft w:val="0"/>
          <w:marRight w:val="0"/>
          <w:marTop w:val="0"/>
          <w:marBottom w:val="0"/>
          <w:divBdr>
            <w:top w:val="none" w:sz="0" w:space="0" w:color="auto"/>
            <w:left w:val="none" w:sz="0" w:space="0" w:color="auto"/>
            <w:bottom w:val="none" w:sz="0" w:space="0" w:color="auto"/>
            <w:right w:val="none" w:sz="0" w:space="0" w:color="auto"/>
          </w:divBdr>
        </w:div>
        <w:div w:id="742683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1320</Words>
  <Characters>10698</Characters>
  <Application>Microsoft Office Word</Application>
  <DocSecurity>0</DocSecurity>
  <Lines>89</Lines>
  <Paragraphs>23</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11995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Rasi Anitta</dc:creator>
  <cp:lastModifiedBy>Rasi Anitta</cp:lastModifiedBy>
  <cp:revision>5</cp:revision>
  <dcterms:created xsi:type="dcterms:W3CDTF">2016-01-07T11:09:00Z</dcterms:created>
  <dcterms:modified xsi:type="dcterms:W3CDTF">2016-01-07T11:53:00Z</dcterms:modified>
</cp:coreProperties>
</file>