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970" w:rsidRDefault="00A23970">
      <w:r>
        <w:object w:dxaOrig="7184" w:dyaOrig="5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4" o:title=""/>
          </v:shape>
          <o:OLEObject Type="Embed" ProgID="PowerPoint.Slide.12" ShapeID="_x0000_i1025" DrawAspect="Content" ObjectID="_1586587879" r:id="rId5"/>
        </w:object>
      </w:r>
    </w:p>
    <w:p w:rsidR="00A23970" w:rsidRDefault="00A23970"/>
    <w:p w:rsidR="00A930A8" w:rsidRDefault="00A23970">
      <w:r>
        <w:object w:dxaOrig="7184" w:dyaOrig="5404">
          <v:shape id="_x0000_i1026" type="#_x0000_t75" style="width:359.25pt;height:270pt" o:ole="">
            <v:imagedata r:id="rId6" o:title=""/>
          </v:shape>
          <o:OLEObject Type="Embed" ProgID="PowerPoint.Slide.12" ShapeID="_x0000_i1026" DrawAspect="Content" ObjectID="_1586587880" r:id="rId7"/>
        </w:object>
      </w:r>
    </w:p>
    <w:p w:rsidR="00A23970" w:rsidRDefault="00A23970">
      <w:r>
        <w:object w:dxaOrig="7184" w:dyaOrig="5404">
          <v:shape id="_x0000_i1027" type="#_x0000_t75" style="width:359.25pt;height:270pt" o:ole="">
            <v:imagedata r:id="rId8" o:title=""/>
          </v:shape>
          <o:OLEObject Type="Embed" ProgID="PowerPoint.Slide.12" ShapeID="_x0000_i1027" DrawAspect="Content" ObjectID="_1586587881" r:id="rId9"/>
        </w:object>
      </w:r>
    </w:p>
    <w:p w:rsidR="00A23970" w:rsidRDefault="00A23970">
      <w:r>
        <w:object w:dxaOrig="7184" w:dyaOrig="5404">
          <v:shape id="_x0000_i1028" type="#_x0000_t75" style="width:359.25pt;height:270pt" o:ole="">
            <v:imagedata r:id="rId10" o:title=""/>
          </v:shape>
          <o:OLEObject Type="Embed" ProgID="PowerPoint.Slide.12" ShapeID="_x0000_i1028" DrawAspect="Content" ObjectID="_1586587882" r:id="rId11"/>
        </w:object>
      </w:r>
    </w:p>
    <w:p w:rsidR="00A23970" w:rsidRDefault="00A23970"/>
    <w:p w:rsidR="00F92DC5" w:rsidRPr="00F92DC5" w:rsidRDefault="00F92DC5">
      <w:pPr>
        <w:rPr>
          <w:b/>
          <w:sz w:val="28"/>
          <w:szCs w:val="28"/>
        </w:rPr>
      </w:pPr>
      <w:r w:rsidRPr="00F92DC5">
        <w:rPr>
          <w:b/>
          <w:sz w:val="28"/>
          <w:szCs w:val="28"/>
        </w:rPr>
        <w:t>Huume lainsäädäntö:</w:t>
      </w:r>
    </w:p>
    <w:p w:rsidR="00F92DC5" w:rsidRPr="00F92DC5" w:rsidRDefault="00F92DC5" w:rsidP="00F92DC5">
      <w:pPr>
        <w:spacing w:after="180" w:line="240" w:lineRule="auto"/>
        <w:textAlignment w:val="baseline"/>
        <w:outlineLvl w:val="2"/>
        <w:rPr>
          <w:rFonts w:ascii="Open Sans" w:eastAsia="Times New Roman" w:hAnsi="Open Sans" w:cs="Times New Roman"/>
          <w:b/>
          <w:bCs/>
          <w:color w:val="333333"/>
          <w:sz w:val="21"/>
          <w:szCs w:val="21"/>
          <w:lang w:eastAsia="fi-FI"/>
        </w:rPr>
      </w:pPr>
      <w:r w:rsidRPr="00F92DC5">
        <w:rPr>
          <w:rFonts w:ascii="Open Sans" w:eastAsia="Times New Roman" w:hAnsi="Open Sans" w:cs="Times New Roman"/>
          <w:b/>
          <w:bCs/>
          <w:color w:val="333333"/>
          <w:sz w:val="21"/>
          <w:szCs w:val="21"/>
          <w:lang w:eastAsia="fi-FI"/>
        </w:rPr>
        <w:t>Huumausainerikoksina rangaistavat teot</w:t>
      </w:r>
    </w:p>
    <w:p w:rsidR="00F92DC5" w:rsidRDefault="00F92DC5" w:rsidP="00F92DC5">
      <w:pPr>
        <w:spacing w:after="0" w:line="300" w:lineRule="atLeast"/>
        <w:textAlignment w:val="baseline"/>
        <w:rPr>
          <w:rFonts w:ascii="Open Sans" w:eastAsia="Times New Roman" w:hAnsi="Open Sans" w:cs="Times New Roman"/>
          <w:color w:val="434343"/>
          <w:sz w:val="21"/>
          <w:szCs w:val="21"/>
          <w:lang w:eastAsia="fi-FI"/>
        </w:rPr>
      </w:pPr>
      <w:r w:rsidRPr="00F92DC5">
        <w:rPr>
          <w:rFonts w:ascii="Open Sans" w:eastAsia="Times New Roman" w:hAnsi="Open Sans" w:cs="Times New Roman"/>
          <w:color w:val="434343"/>
          <w:sz w:val="21"/>
          <w:szCs w:val="21"/>
          <w:lang w:eastAsia="fi-FI"/>
        </w:rPr>
        <w:t>Huumausainelaissa säädetään huumeisiin liittyvästä yleiskiellosta, josta voidaan poiketa lääkinnällisessä, tutkimuksellisessa, valvonnallisessa ja teollisessa tarkoituksessa. Tällaista tarkoitusta varten on yleensä haettava lupa Lääkealan turvallisuus- ja kehittämiskeskukselta (</w:t>
      </w:r>
      <w:proofErr w:type="spellStart"/>
      <w:r w:rsidRPr="00F92DC5">
        <w:rPr>
          <w:rFonts w:ascii="Open Sans" w:eastAsia="Times New Roman" w:hAnsi="Open Sans" w:cs="Times New Roman"/>
          <w:color w:val="434343"/>
          <w:sz w:val="21"/>
          <w:szCs w:val="21"/>
          <w:lang w:eastAsia="fi-FI"/>
        </w:rPr>
        <w:t>Fimealta</w:t>
      </w:r>
      <w:proofErr w:type="spellEnd"/>
      <w:r w:rsidRPr="00F92DC5">
        <w:rPr>
          <w:rFonts w:ascii="Open Sans" w:eastAsia="Times New Roman" w:hAnsi="Open Sans" w:cs="Times New Roman"/>
          <w:color w:val="434343"/>
          <w:sz w:val="21"/>
          <w:szCs w:val="21"/>
          <w:lang w:eastAsia="fi-FI"/>
        </w:rPr>
        <w:t xml:space="preserve">) ja toimijoilla on sen jälkeen useita velvollisuuksia heidän käsitellessään huumausaineita. Jos he rikkovat luvan hakemiseen tai muihin </w:t>
      </w:r>
      <w:r w:rsidRPr="00F92DC5">
        <w:rPr>
          <w:rFonts w:ascii="Open Sans" w:eastAsia="Times New Roman" w:hAnsi="Open Sans" w:cs="Times New Roman"/>
          <w:color w:val="434343"/>
          <w:sz w:val="21"/>
          <w:szCs w:val="21"/>
          <w:lang w:eastAsia="fi-FI"/>
        </w:rPr>
        <w:lastRenderedPageBreak/>
        <w:t>velvollisuuksiin liittyviä määräyksiä, heidät voidaan tuomita huumausainerikkomuksesta sakkoihin. Tätä säännöstä sovelletaan hyvin harvoin. Yleensä ihmiset tulevat tuomituiksi rikoslain perusteella, kun he hankkivat, liikuttelevat, kaupittelevat tai käyttävät huumausaineita laittomilla markkinoilla.</w:t>
      </w:r>
    </w:p>
    <w:p w:rsidR="00F92DC5" w:rsidRPr="00F92DC5" w:rsidRDefault="00F92DC5" w:rsidP="00F92DC5">
      <w:pPr>
        <w:spacing w:after="0" w:line="300" w:lineRule="atLeast"/>
        <w:textAlignment w:val="baseline"/>
        <w:rPr>
          <w:rFonts w:ascii="Open Sans" w:eastAsia="Times New Roman" w:hAnsi="Open Sans" w:cs="Times New Roman"/>
          <w:color w:val="434343"/>
          <w:sz w:val="21"/>
          <w:szCs w:val="21"/>
          <w:lang w:eastAsia="fi-FI"/>
        </w:rPr>
      </w:pPr>
    </w:p>
    <w:p w:rsidR="00F92DC5" w:rsidRDefault="00F92DC5" w:rsidP="00F92DC5">
      <w:pPr>
        <w:spacing w:after="0" w:line="300" w:lineRule="atLeast"/>
        <w:textAlignment w:val="baseline"/>
        <w:rPr>
          <w:rFonts w:ascii="Open Sans" w:eastAsia="Times New Roman" w:hAnsi="Open Sans" w:cs="Times New Roman"/>
          <w:color w:val="434343"/>
          <w:sz w:val="21"/>
          <w:szCs w:val="21"/>
          <w:lang w:eastAsia="fi-FI"/>
        </w:rPr>
      </w:pPr>
      <w:r w:rsidRPr="00F92DC5">
        <w:rPr>
          <w:rFonts w:ascii="Open Sans" w:eastAsia="Times New Roman" w:hAnsi="Open Sans" w:cs="Times New Roman"/>
          <w:color w:val="434343"/>
          <w:sz w:val="21"/>
          <w:szCs w:val="21"/>
          <w:lang w:eastAsia="fi-FI"/>
        </w:rPr>
        <w:t>Huumausaineen käyttö ja vähäisen määrän hallussapito omaa käyttöä varten on huumausaineen käyttörikos, josta seurauksena on tavallisesti sakkoa. Poliisi voi määrätä sakon, eikä rikosasiaa tarvitse käsitellä tuomioistuimessa. Rangaistusasteikko ulottuu kuuteen kuukautta vankeutta asti, mutta pelkästä käyttörikoksesta henkilöä ei tuomita vankeuteen. Rangaistusasteikon takia poliisi voi kuitenkin tehdä kotietsinnän käyttörikosepäilyn perusteella. Huumausaineen käyttörikokseen syyllistyy myös, jos käyttää huumausaineeksi luokiteltua lääkettä ilman lääkärin määräystä.</w:t>
      </w:r>
    </w:p>
    <w:p w:rsidR="00F92DC5" w:rsidRPr="00F92DC5" w:rsidRDefault="00F92DC5" w:rsidP="00F92DC5">
      <w:pPr>
        <w:spacing w:after="0" w:line="300" w:lineRule="atLeast"/>
        <w:textAlignment w:val="baseline"/>
        <w:rPr>
          <w:rFonts w:ascii="Open Sans" w:eastAsia="Times New Roman" w:hAnsi="Open Sans" w:cs="Times New Roman"/>
          <w:color w:val="434343"/>
          <w:sz w:val="21"/>
          <w:szCs w:val="21"/>
          <w:lang w:eastAsia="fi-FI"/>
        </w:rPr>
      </w:pPr>
    </w:p>
    <w:p w:rsidR="00F92DC5" w:rsidRDefault="00F92DC5" w:rsidP="00F92DC5">
      <w:pPr>
        <w:spacing w:after="0" w:line="300" w:lineRule="atLeast"/>
        <w:textAlignment w:val="baseline"/>
        <w:rPr>
          <w:rFonts w:ascii="Open Sans" w:eastAsia="Times New Roman" w:hAnsi="Open Sans" w:cs="Times New Roman"/>
          <w:color w:val="434343"/>
          <w:sz w:val="21"/>
          <w:szCs w:val="21"/>
          <w:lang w:eastAsia="fi-FI"/>
        </w:rPr>
      </w:pPr>
      <w:r w:rsidRPr="00F92DC5">
        <w:rPr>
          <w:rFonts w:ascii="Open Sans" w:eastAsia="Times New Roman" w:hAnsi="Open Sans" w:cs="Times New Roman"/>
          <w:b/>
          <w:i/>
          <w:color w:val="434343"/>
          <w:sz w:val="24"/>
          <w:szCs w:val="24"/>
          <w:lang w:eastAsia="fi-FI"/>
        </w:rPr>
        <w:t>Huumausainerikoksella</w:t>
      </w:r>
      <w:r w:rsidRPr="00F92DC5">
        <w:rPr>
          <w:rFonts w:ascii="Open Sans" w:eastAsia="Times New Roman" w:hAnsi="Open Sans" w:cs="Times New Roman"/>
          <w:color w:val="434343"/>
          <w:sz w:val="21"/>
          <w:szCs w:val="21"/>
          <w:lang w:eastAsia="fi-FI"/>
        </w:rPr>
        <w:t xml:space="preserve"> tarkoitetaan huumausaineen laitonta valmistamista, maahantuontia, maastavientiä, kuljettamista, levittämistä ja hallussa pitämistä. Huumausainerikoksesta voidaan tuomita sakkoa tai enintään kaksi vuotta vankeutta. Jos henkilö on syyllistynyt omaan käyttöön liittyvään huumausainerikokseen, kuten että hän on tuonut vähäisen määrän huumausainetta maahan tai hän on kasvattanut vähäistä määrää kannabista, hänet tuomitaan yleensä sakkorangaistukseen. Vankeusrangaistus voi olla ehdollinen tai ehdoton, ja silloin henkilön katsotaan usein pitäneen huumeita hallussaan levitystarkoituksessa.</w:t>
      </w:r>
    </w:p>
    <w:p w:rsidR="00F92DC5" w:rsidRPr="00F92DC5" w:rsidRDefault="00F92DC5" w:rsidP="00F92DC5">
      <w:pPr>
        <w:spacing w:after="0" w:line="300" w:lineRule="atLeast"/>
        <w:textAlignment w:val="baseline"/>
        <w:rPr>
          <w:rFonts w:ascii="Open Sans" w:eastAsia="Times New Roman" w:hAnsi="Open Sans" w:cs="Times New Roman"/>
          <w:color w:val="434343"/>
          <w:sz w:val="21"/>
          <w:szCs w:val="21"/>
          <w:lang w:eastAsia="fi-FI"/>
        </w:rPr>
      </w:pPr>
    </w:p>
    <w:p w:rsidR="00F92DC5" w:rsidRDefault="00F92DC5" w:rsidP="00F92DC5">
      <w:pPr>
        <w:spacing w:after="0" w:line="300" w:lineRule="atLeast"/>
        <w:textAlignment w:val="baseline"/>
        <w:rPr>
          <w:rFonts w:ascii="Open Sans" w:eastAsia="Times New Roman" w:hAnsi="Open Sans" w:cs="Times New Roman"/>
          <w:color w:val="434343"/>
          <w:sz w:val="21"/>
          <w:szCs w:val="21"/>
          <w:lang w:eastAsia="fi-FI"/>
        </w:rPr>
      </w:pPr>
      <w:r w:rsidRPr="00F92DC5">
        <w:rPr>
          <w:rFonts w:ascii="Open Sans" w:eastAsia="Times New Roman" w:hAnsi="Open Sans" w:cs="Times New Roman"/>
          <w:color w:val="434343"/>
          <w:sz w:val="21"/>
          <w:szCs w:val="21"/>
          <w:lang w:eastAsia="fi-FI"/>
        </w:rPr>
        <w:t xml:space="preserve">Huumausainerikos on </w:t>
      </w:r>
      <w:r w:rsidRPr="00F92DC5">
        <w:rPr>
          <w:rFonts w:ascii="Open Sans" w:eastAsia="Times New Roman" w:hAnsi="Open Sans" w:cs="Times New Roman"/>
          <w:b/>
          <w:i/>
          <w:color w:val="434343"/>
          <w:sz w:val="24"/>
          <w:szCs w:val="24"/>
          <w:lang w:eastAsia="fi-FI"/>
        </w:rPr>
        <w:t>törkeä</w:t>
      </w:r>
      <w:r w:rsidRPr="00F92DC5">
        <w:rPr>
          <w:rFonts w:ascii="Open Sans" w:eastAsia="Times New Roman" w:hAnsi="Open Sans" w:cs="Times New Roman"/>
          <w:color w:val="434343"/>
          <w:sz w:val="21"/>
          <w:szCs w:val="21"/>
          <w:lang w:eastAsia="fi-FI"/>
        </w:rPr>
        <w:t>, jos rikoksen kohteena on erittäin vaarallinen tai suuri määrä huumausainetta, rikoksella tavoitellaan huomattavaa taloudellista hyötyä, rikoksentekijä toimii järjestäytyneen ryhmän jäsenenä, rikoksella aiheutetaan usealle ihmiselle vakava terveyden tai hengen vaara tai huumausainetta levitetään alaikäisille tai muuten häikäilemättömällä tavalla. Rikoksen pitää olla myös kokonaisuutena arvioiden törkeä. Rangaistuksena on vähintään vuosi ja enintään kymmenen vuotta vankeutta. Törkeästä huumausainerikoksesta seuraa yleensä ehdotonta vankeutta. Poliisilla on myös mahdollisuus käyttää useita salaisia pakkokeinoja rikosten selvittämiseksi, kuten telekuuntelua ja -valvontaa.</w:t>
      </w:r>
    </w:p>
    <w:p w:rsidR="00F92DC5" w:rsidRPr="00F92DC5" w:rsidRDefault="00F92DC5" w:rsidP="00F92DC5">
      <w:pPr>
        <w:spacing w:after="0" w:line="300" w:lineRule="atLeast"/>
        <w:textAlignment w:val="baseline"/>
        <w:rPr>
          <w:rFonts w:ascii="Open Sans" w:eastAsia="Times New Roman" w:hAnsi="Open Sans" w:cs="Times New Roman"/>
          <w:color w:val="434343"/>
          <w:sz w:val="21"/>
          <w:szCs w:val="21"/>
          <w:lang w:eastAsia="fi-FI"/>
        </w:rPr>
      </w:pPr>
      <w:bookmarkStart w:id="0" w:name="_GoBack"/>
      <w:bookmarkEnd w:id="0"/>
    </w:p>
    <w:p w:rsidR="00F92DC5" w:rsidRPr="00F92DC5" w:rsidRDefault="00F92DC5" w:rsidP="00F92DC5">
      <w:pPr>
        <w:spacing w:after="0" w:line="300" w:lineRule="atLeast"/>
        <w:textAlignment w:val="baseline"/>
        <w:rPr>
          <w:rFonts w:ascii="Open Sans" w:eastAsia="Times New Roman" w:hAnsi="Open Sans" w:cs="Times New Roman"/>
          <w:color w:val="434343"/>
          <w:sz w:val="21"/>
          <w:szCs w:val="21"/>
          <w:lang w:eastAsia="fi-FI"/>
        </w:rPr>
      </w:pPr>
      <w:r w:rsidRPr="00F92DC5">
        <w:rPr>
          <w:rFonts w:ascii="Open Sans" w:eastAsia="Times New Roman" w:hAnsi="Open Sans" w:cs="Times New Roman"/>
          <w:color w:val="434343"/>
          <w:sz w:val="21"/>
          <w:szCs w:val="21"/>
          <w:lang w:eastAsia="fi-FI"/>
        </w:rPr>
        <w:t>Rikoslaissa on myös rangaistussäännökset huumausainerikoksen valmistelusta ja edistämisestä, mutta näitä rikosnimikkeitä sovelletaan hyvin harvoin.</w:t>
      </w:r>
    </w:p>
    <w:p w:rsidR="00F92DC5" w:rsidRDefault="00F92DC5"/>
    <w:sectPr w:rsidR="00F92DC5">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970"/>
    <w:rsid w:val="00A23970"/>
    <w:rsid w:val="00A930A8"/>
    <w:rsid w:val="00F92DC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D499F"/>
  <w15:chartTrackingRefBased/>
  <w15:docId w15:val="{5A959534-3538-463E-A9AB-23BB99B28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88248">
      <w:bodyDiv w:val="1"/>
      <w:marLeft w:val="0"/>
      <w:marRight w:val="0"/>
      <w:marTop w:val="0"/>
      <w:marBottom w:val="0"/>
      <w:divBdr>
        <w:top w:val="none" w:sz="0" w:space="0" w:color="auto"/>
        <w:left w:val="none" w:sz="0" w:space="0" w:color="auto"/>
        <w:bottom w:val="none" w:sz="0" w:space="0" w:color="auto"/>
        <w:right w:val="none" w:sz="0" w:space="0" w:color="auto"/>
      </w:divBdr>
      <w:divsChild>
        <w:div w:id="184367272">
          <w:marLeft w:val="0"/>
          <w:marRight w:val="0"/>
          <w:marTop w:val="0"/>
          <w:marBottom w:val="0"/>
          <w:divBdr>
            <w:top w:val="none" w:sz="0" w:space="0" w:color="auto"/>
            <w:left w:val="none" w:sz="0" w:space="0" w:color="auto"/>
            <w:bottom w:val="none" w:sz="0" w:space="0" w:color="auto"/>
            <w:right w:val="none" w:sz="0" w:space="0" w:color="auto"/>
          </w:divBdr>
          <w:divsChild>
            <w:div w:id="2038047079">
              <w:marLeft w:val="0"/>
              <w:marRight w:val="0"/>
              <w:marTop w:val="0"/>
              <w:marBottom w:val="0"/>
              <w:divBdr>
                <w:top w:val="none" w:sz="0" w:space="0" w:color="auto"/>
                <w:left w:val="none" w:sz="0" w:space="0" w:color="auto"/>
                <w:bottom w:val="none" w:sz="0" w:space="0" w:color="auto"/>
                <w:right w:val="none" w:sz="0" w:space="0" w:color="auto"/>
              </w:divBdr>
              <w:divsChild>
                <w:div w:id="2046951944">
                  <w:marLeft w:val="0"/>
                  <w:marRight w:val="0"/>
                  <w:marTop w:val="0"/>
                  <w:marBottom w:val="0"/>
                  <w:divBdr>
                    <w:top w:val="none" w:sz="0" w:space="0" w:color="auto"/>
                    <w:left w:val="none" w:sz="0" w:space="0" w:color="auto"/>
                    <w:bottom w:val="none" w:sz="0" w:space="0" w:color="auto"/>
                    <w:right w:val="none" w:sz="0" w:space="0" w:color="auto"/>
                  </w:divBdr>
                  <w:divsChild>
                    <w:div w:id="739713353">
                      <w:marLeft w:val="150"/>
                      <w:marRight w:val="150"/>
                      <w:marTop w:val="0"/>
                      <w:marBottom w:val="0"/>
                      <w:divBdr>
                        <w:top w:val="none" w:sz="0" w:space="0" w:color="auto"/>
                        <w:left w:val="none" w:sz="0" w:space="0" w:color="auto"/>
                        <w:bottom w:val="none" w:sz="0" w:space="0" w:color="auto"/>
                        <w:right w:val="none" w:sz="0" w:space="0" w:color="auto"/>
                      </w:divBdr>
                      <w:divsChild>
                        <w:div w:id="2107919006">
                          <w:marLeft w:val="0"/>
                          <w:marRight w:val="0"/>
                          <w:marTop w:val="0"/>
                          <w:marBottom w:val="0"/>
                          <w:divBdr>
                            <w:top w:val="none" w:sz="0" w:space="0" w:color="auto"/>
                            <w:left w:val="none" w:sz="0" w:space="0" w:color="auto"/>
                            <w:bottom w:val="none" w:sz="0" w:space="0" w:color="auto"/>
                            <w:right w:val="none" w:sz="0" w:space="0" w:color="auto"/>
                          </w:divBdr>
                          <w:divsChild>
                            <w:div w:id="239562049">
                              <w:marLeft w:val="0"/>
                              <w:marRight w:val="0"/>
                              <w:marTop w:val="0"/>
                              <w:marBottom w:val="0"/>
                              <w:divBdr>
                                <w:top w:val="none" w:sz="0" w:space="0" w:color="auto"/>
                                <w:left w:val="none" w:sz="0" w:space="0" w:color="auto"/>
                                <w:bottom w:val="none" w:sz="0" w:space="0" w:color="auto"/>
                                <w:right w:val="none" w:sz="0" w:space="0" w:color="auto"/>
                              </w:divBdr>
                              <w:divsChild>
                                <w:div w:id="1459058600">
                                  <w:marLeft w:val="0"/>
                                  <w:marRight w:val="0"/>
                                  <w:marTop w:val="0"/>
                                  <w:marBottom w:val="0"/>
                                  <w:divBdr>
                                    <w:top w:val="none" w:sz="0" w:space="0" w:color="auto"/>
                                    <w:left w:val="none" w:sz="0" w:space="0" w:color="auto"/>
                                    <w:bottom w:val="none" w:sz="0" w:space="0" w:color="auto"/>
                                    <w:right w:val="none" w:sz="0" w:space="0" w:color="auto"/>
                                  </w:divBdr>
                                  <w:divsChild>
                                    <w:div w:id="170146152">
                                      <w:marLeft w:val="0"/>
                                      <w:marRight w:val="0"/>
                                      <w:marTop w:val="0"/>
                                      <w:marBottom w:val="0"/>
                                      <w:divBdr>
                                        <w:top w:val="none" w:sz="0" w:space="0" w:color="auto"/>
                                        <w:left w:val="none" w:sz="0" w:space="0" w:color="auto"/>
                                        <w:bottom w:val="none" w:sz="0" w:space="0" w:color="auto"/>
                                        <w:right w:val="none" w:sz="0" w:space="0" w:color="auto"/>
                                      </w:divBdr>
                                      <w:divsChild>
                                        <w:div w:id="66195447">
                                          <w:marLeft w:val="0"/>
                                          <w:marRight w:val="0"/>
                                          <w:marTop w:val="0"/>
                                          <w:marBottom w:val="0"/>
                                          <w:divBdr>
                                            <w:top w:val="none" w:sz="0" w:space="0" w:color="auto"/>
                                            <w:left w:val="none" w:sz="0" w:space="0" w:color="auto"/>
                                            <w:bottom w:val="none" w:sz="0" w:space="0" w:color="auto"/>
                                            <w:right w:val="none" w:sz="0" w:space="0" w:color="auto"/>
                                          </w:divBdr>
                                          <w:divsChild>
                                            <w:div w:id="896818603">
                                              <w:marLeft w:val="0"/>
                                              <w:marRight w:val="0"/>
                                              <w:marTop w:val="0"/>
                                              <w:marBottom w:val="0"/>
                                              <w:divBdr>
                                                <w:top w:val="none" w:sz="0" w:space="0" w:color="auto"/>
                                                <w:left w:val="none" w:sz="0" w:space="0" w:color="auto"/>
                                                <w:bottom w:val="none" w:sz="0" w:space="0" w:color="auto"/>
                                                <w:right w:val="none" w:sz="0" w:space="0" w:color="auto"/>
                                              </w:divBdr>
                                              <w:divsChild>
                                                <w:div w:id="596251010">
                                                  <w:marLeft w:val="0"/>
                                                  <w:marRight w:val="0"/>
                                                  <w:marTop w:val="0"/>
                                                  <w:marBottom w:val="0"/>
                                                  <w:divBdr>
                                                    <w:top w:val="none" w:sz="0" w:space="0" w:color="auto"/>
                                                    <w:left w:val="none" w:sz="0" w:space="0" w:color="auto"/>
                                                    <w:bottom w:val="none" w:sz="0" w:space="0" w:color="auto"/>
                                                    <w:right w:val="none" w:sz="0" w:space="0" w:color="auto"/>
                                                  </w:divBdr>
                                                  <w:divsChild>
                                                    <w:div w:id="19025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package" Target="embeddings/Microsoft_PowerPoint_-dia1.sldx"/><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dia3.sldx"/><Relationship Id="rId5" Type="http://schemas.openxmlformats.org/officeDocument/2006/relationships/package" Target="embeddings/Microsoft_PowerPoint_-dia.sldx"/><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package" Target="embeddings/Microsoft_PowerPoint_-dia2.sldx"/></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324</Words>
  <Characters>2628</Characters>
  <Application>Microsoft Office Word</Application>
  <DocSecurity>0</DocSecurity>
  <Lines>21</Lines>
  <Paragraphs>5</Paragraphs>
  <ScaleCrop>false</ScaleCrop>
  <HeadingPairs>
    <vt:vector size="2" baseType="variant">
      <vt:variant>
        <vt:lpstr>Otsikko</vt:lpstr>
      </vt:variant>
      <vt:variant>
        <vt:i4>1</vt:i4>
      </vt:variant>
    </vt:vector>
  </HeadingPairs>
  <TitlesOfParts>
    <vt:vector size="1" baseType="lpstr">
      <vt:lpstr/>
    </vt:vector>
  </TitlesOfParts>
  <Company>Pieksämäen Kaupunki</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 Suutari</dc:creator>
  <cp:keywords/>
  <dc:description/>
  <cp:lastModifiedBy>Petri Suutari</cp:lastModifiedBy>
  <cp:revision>2</cp:revision>
  <dcterms:created xsi:type="dcterms:W3CDTF">2018-04-30T06:57:00Z</dcterms:created>
  <dcterms:modified xsi:type="dcterms:W3CDTF">2018-04-30T07:05:00Z</dcterms:modified>
</cp:coreProperties>
</file>