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Personal pronouns quiz- Choose the right pronoun!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John is my student. ______ is very intelligent.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2. Alice is my sister. ____ lives abroad. 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He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She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3. John and Mary are my students. _______ go to school every day.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4. My dog is smarter than ________ dog.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your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you’re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yours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5. ______ is raining.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6. Children are eating pizza. ______ are very hungry.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She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7. My parents live in Vantaa. I visit ______ often.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8. My brother and I don’t like winter because ______ don’t like cold.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she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9. Brad Pitt is a really good actor! Did you watch _______ latest movie?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he’s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10. Can you help ______?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11. She doesn’t know where ______ bag is.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12. My brother is coming. We have to wait for ______!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her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13. Where are you? I can’t see ____!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your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14. My husband and I need help. Can you help _____?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them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15. This test was not difficult. ____ was too easy!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it’s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its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