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BI5 Hiivasolun rakenne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Nimeä hiivasolun rakenne.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3357159" cy="40831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7159" cy="4083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