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C8" w:rsidRPr="00600D82" w:rsidRDefault="004C35C8" w:rsidP="004C35C8">
      <w:pPr>
        <w:pStyle w:val="Luettelokappale"/>
        <w:numPr>
          <w:ilvl w:val="0"/>
          <w:numId w:val="1"/>
        </w:numPr>
        <w:spacing w:line="360" w:lineRule="auto"/>
        <w:rPr>
          <w:rFonts w:asciiTheme="minorHAnsi" w:hAnsiTheme="minorHAnsi" w:cstheme="minorHAnsi"/>
          <w:b/>
          <w:bCs/>
        </w:rPr>
      </w:pPr>
      <w:r w:rsidRPr="00600D82">
        <w:rPr>
          <w:rFonts w:asciiTheme="minorHAnsi" w:hAnsiTheme="minorHAnsi" w:cstheme="minorHAnsi"/>
          <w:b/>
          <w:bCs/>
        </w:rPr>
        <w:t>Kieliasennetutkimus ammatillisissa konteksteissa</w:t>
      </w:r>
    </w:p>
    <w:p w:rsidR="004C35C8" w:rsidRDefault="004C35C8" w:rsidP="004C35C8">
      <w:pPr>
        <w:spacing w:line="360" w:lineRule="auto"/>
        <w:rPr>
          <w:rFonts w:cstheme="minorHAnsi"/>
          <w:sz w:val="24"/>
          <w:szCs w:val="24"/>
        </w:rPr>
      </w:pPr>
    </w:p>
    <w:p w:rsidR="004C35C8" w:rsidRDefault="004C35C8" w:rsidP="004C35C8">
      <w:pPr>
        <w:spacing w:line="360" w:lineRule="auto"/>
        <w:rPr>
          <w:rFonts w:cstheme="minorHAnsi"/>
          <w:sz w:val="24"/>
          <w:szCs w:val="24"/>
        </w:rPr>
      </w:pPr>
      <w:r>
        <w:rPr>
          <w:rFonts w:cstheme="minorHAnsi"/>
          <w:sz w:val="24"/>
          <w:szCs w:val="24"/>
        </w:rPr>
        <w:t xml:space="preserve">Peter </w:t>
      </w:r>
      <w:proofErr w:type="spellStart"/>
      <w:r>
        <w:rPr>
          <w:rFonts w:cstheme="minorHAnsi"/>
          <w:sz w:val="24"/>
          <w:szCs w:val="24"/>
        </w:rPr>
        <w:t>Garrett</w:t>
      </w:r>
      <w:proofErr w:type="spellEnd"/>
      <w:r>
        <w:rPr>
          <w:rFonts w:cstheme="minorHAnsi"/>
          <w:sz w:val="24"/>
          <w:szCs w:val="24"/>
        </w:rPr>
        <w:t xml:space="preserve"> esittelee kieliasennetutkimusta, jossa on tutkittu kommunikaation mukautumista erilaisissa ammatillisissa konteksteissa. Tutkimuksissa on tarkasteltu mm. eri ikäryhmien, ammattiryhmien välistä ja työhönottotilanteissa tapahtuvaa kommunikaatiota. Kieliasenteilla on merkitystä, koska ne voivat saada aikaan muutosta yksilötasoa laajemminkin. Ammatillisissa yhteyksissä vaikuttavia kieliasenteita on tärkeää tutkia sen vuoksi, että kieliasenteet voivat vaikuttaa ihmisten hyvinvointiin, sosiaaliseen kanssakäymiseen sekä työelämän uramahdollisuuksiin. Tutkimuksissa on selvitetty, miten kieliasenteet vaikuttavat ihmisen menestymiseen juridisissa asioinneissa, ylipäätään työuralla (esimerkiksi aksentin vaikutus) ja koulutuksessa sekä selviytymiseen terveydenhuoltoa koskevissa tilanteissa. Nämä tutkimusaiheet ovat kuitenkin varsin laajoja ja monitulkintaisia sekä monimutkaisia toteutukseltaan. (</w:t>
      </w:r>
      <w:proofErr w:type="spellStart"/>
      <w:r>
        <w:rPr>
          <w:rFonts w:cstheme="minorHAnsi"/>
          <w:sz w:val="24"/>
          <w:szCs w:val="24"/>
        </w:rPr>
        <w:t>Garrett</w:t>
      </w:r>
      <w:proofErr w:type="spellEnd"/>
      <w:r>
        <w:rPr>
          <w:rFonts w:cstheme="minorHAnsi"/>
          <w:sz w:val="24"/>
          <w:szCs w:val="24"/>
        </w:rPr>
        <w:t xml:space="preserve"> 2010: 117, 119, 224–225.)</w:t>
      </w:r>
    </w:p>
    <w:p w:rsidR="004C35C8" w:rsidRDefault="004C35C8" w:rsidP="004C35C8">
      <w:pPr>
        <w:spacing w:line="360" w:lineRule="auto"/>
        <w:rPr>
          <w:rFonts w:cstheme="minorHAnsi"/>
          <w:sz w:val="24"/>
          <w:szCs w:val="24"/>
        </w:rPr>
      </w:pPr>
      <w:r>
        <w:rPr>
          <w:rFonts w:cstheme="minorHAnsi"/>
          <w:sz w:val="24"/>
          <w:szCs w:val="24"/>
        </w:rPr>
        <w:t xml:space="preserve">Eräässä </w:t>
      </w:r>
      <w:proofErr w:type="spellStart"/>
      <w:r>
        <w:rPr>
          <w:rFonts w:cstheme="minorHAnsi"/>
          <w:sz w:val="24"/>
          <w:szCs w:val="24"/>
        </w:rPr>
        <w:t>Garrettin</w:t>
      </w:r>
      <w:proofErr w:type="spellEnd"/>
      <w:r>
        <w:rPr>
          <w:rFonts w:cstheme="minorHAnsi"/>
          <w:sz w:val="24"/>
          <w:szCs w:val="24"/>
        </w:rPr>
        <w:t xml:space="preserve"> esittelemässä </w:t>
      </w:r>
      <w:proofErr w:type="spellStart"/>
      <w:r>
        <w:rPr>
          <w:rFonts w:cstheme="minorHAnsi"/>
          <w:sz w:val="24"/>
          <w:szCs w:val="24"/>
        </w:rPr>
        <w:t>Gouldin</w:t>
      </w:r>
      <w:proofErr w:type="spellEnd"/>
      <w:r>
        <w:rPr>
          <w:rFonts w:cstheme="minorHAnsi"/>
          <w:sz w:val="24"/>
          <w:szCs w:val="24"/>
        </w:rPr>
        <w:t xml:space="preserve"> ja </w:t>
      </w:r>
      <w:proofErr w:type="spellStart"/>
      <w:r>
        <w:rPr>
          <w:rFonts w:cstheme="minorHAnsi"/>
          <w:sz w:val="24"/>
          <w:szCs w:val="24"/>
        </w:rPr>
        <w:t>Dixonin</w:t>
      </w:r>
      <w:proofErr w:type="spellEnd"/>
      <w:r>
        <w:rPr>
          <w:rFonts w:cstheme="minorHAnsi"/>
          <w:sz w:val="24"/>
          <w:szCs w:val="24"/>
        </w:rPr>
        <w:t xml:space="preserve"> tutkimuksessa lähdettiin liikkeelle huomiosta, jonka mukaan iäkkäämmät ihmiset eivät usein syystä tai toisesta pysty tai halua noudattaa lääkäreiden heille antamia hoito-ohjeita lääkkeiden käyttöön. Yksi vaikuttava tekijä taustalla on se, että ikääntyneiden ihmisten kognitiiviset kyvyt vaikuttavat ohjeiden ymmärtämiseen ja muistamiseen suullisessa ohjeistuksessa. Tutkimuksessa haluttiin selvittää, olisiko tietyillä kielenpiirteillä vaikutusta lääketieteellisten hoito-ohjeiden vastaanottamiseen. Aiemmin on havaittu, että yksinkertaisten sanojen ja ilmaisujen käyttö ja enemmän konkreettiset kuin abstraktit ilmaisut auttaisivat muistamista ainakin nuorilla aikuisilla. </w:t>
      </w:r>
      <w:proofErr w:type="spellStart"/>
      <w:r>
        <w:rPr>
          <w:rFonts w:cstheme="minorHAnsi"/>
          <w:sz w:val="24"/>
          <w:szCs w:val="24"/>
        </w:rPr>
        <w:t>Gouldin</w:t>
      </w:r>
      <w:proofErr w:type="spellEnd"/>
      <w:r>
        <w:rPr>
          <w:rFonts w:cstheme="minorHAnsi"/>
          <w:sz w:val="24"/>
          <w:szCs w:val="24"/>
        </w:rPr>
        <w:t xml:space="preserve"> ja </w:t>
      </w:r>
      <w:proofErr w:type="spellStart"/>
      <w:r>
        <w:rPr>
          <w:rFonts w:cstheme="minorHAnsi"/>
          <w:sz w:val="24"/>
          <w:szCs w:val="24"/>
        </w:rPr>
        <w:t>Dixonin</w:t>
      </w:r>
      <w:proofErr w:type="spellEnd"/>
      <w:r>
        <w:rPr>
          <w:rFonts w:cstheme="minorHAnsi"/>
          <w:sz w:val="24"/>
          <w:szCs w:val="24"/>
        </w:rPr>
        <w:t xml:space="preserve"> tutkimusasetelmassa oli nuorempia ja vanhempia sekä paremmalla ja huonommalla työmuistilla varustettuja vastaajia. Vastaajat arvioivat kuulemansa ohjeistuksen antajan miellyttävyyttä ja puhetta, ja lisäksi heiltä selvitettiin, kuinka hyvin he muistivat ohjeistuksen. Tulosten perusteella yksinkertaistavasta ja mukauttavasta puheesta hyötyivät ainoastaan sellaiset vanhemmat vastaajat, joilla oli hyvä työmuisti. Sen sijaan huonolla työmuistilla varustetut iäkkäät eivät hyötyneet mukauttavasta ja yksinkertaistavasta puheesta. Kaikissa vastaajaryhmissä suhtauduttiin kielteisesti yksinkertaistavalla tavalla puhuvaan, ja se koettiin holhoavana ja alentavana. (</w:t>
      </w:r>
      <w:proofErr w:type="spellStart"/>
      <w:r>
        <w:rPr>
          <w:rFonts w:cstheme="minorHAnsi"/>
          <w:sz w:val="24"/>
          <w:szCs w:val="24"/>
        </w:rPr>
        <w:t>Garrett</w:t>
      </w:r>
      <w:proofErr w:type="spellEnd"/>
      <w:r>
        <w:rPr>
          <w:rFonts w:cstheme="minorHAnsi"/>
          <w:sz w:val="24"/>
          <w:szCs w:val="24"/>
        </w:rPr>
        <w:t xml:space="preserve"> 2010: 114–115.)</w:t>
      </w:r>
    </w:p>
    <w:p w:rsidR="004C35C8" w:rsidRDefault="004C35C8" w:rsidP="004C35C8">
      <w:pPr>
        <w:spacing w:line="360" w:lineRule="auto"/>
        <w:rPr>
          <w:rFonts w:cstheme="minorHAnsi"/>
          <w:sz w:val="24"/>
          <w:szCs w:val="24"/>
        </w:rPr>
      </w:pPr>
    </w:p>
    <w:p w:rsidR="004C35C8" w:rsidRPr="00600D82" w:rsidRDefault="004C35C8" w:rsidP="004C35C8">
      <w:pPr>
        <w:pStyle w:val="Luettelokappale"/>
        <w:numPr>
          <w:ilvl w:val="0"/>
          <w:numId w:val="1"/>
        </w:numPr>
        <w:spacing w:line="360" w:lineRule="auto"/>
        <w:rPr>
          <w:rFonts w:asciiTheme="minorHAnsi" w:hAnsiTheme="minorHAnsi" w:cstheme="minorHAnsi"/>
          <w:b/>
          <w:bCs/>
        </w:rPr>
      </w:pPr>
      <w:r w:rsidRPr="00600D82">
        <w:rPr>
          <w:rFonts w:asciiTheme="minorHAnsi" w:hAnsiTheme="minorHAnsi" w:cstheme="minorHAnsi"/>
          <w:b/>
          <w:bCs/>
        </w:rPr>
        <w:t xml:space="preserve">Mitä tarkoitetaan ns. </w:t>
      </w:r>
      <w:proofErr w:type="spellStart"/>
      <w:r w:rsidRPr="00600D82">
        <w:rPr>
          <w:rFonts w:asciiTheme="minorHAnsi" w:hAnsiTheme="minorHAnsi" w:cstheme="minorHAnsi"/>
          <w:b/>
          <w:bCs/>
        </w:rPr>
        <w:t>matched</w:t>
      </w:r>
      <w:proofErr w:type="spellEnd"/>
      <w:r w:rsidRPr="00600D82">
        <w:rPr>
          <w:rFonts w:asciiTheme="minorHAnsi" w:hAnsiTheme="minorHAnsi" w:cstheme="minorHAnsi"/>
          <w:b/>
          <w:bCs/>
        </w:rPr>
        <w:t xml:space="preserve"> </w:t>
      </w:r>
      <w:proofErr w:type="spellStart"/>
      <w:r w:rsidRPr="00600D82">
        <w:rPr>
          <w:rFonts w:asciiTheme="minorHAnsi" w:hAnsiTheme="minorHAnsi" w:cstheme="minorHAnsi"/>
          <w:b/>
          <w:bCs/>
        </w:rPr>
        <w:t>guise</w:t>
      </w:r>
      <w:proofErr w:type="spellEnd"/>
      <w:r w:rsidRPr="00600D82">
        <w:rPr>
          <w:rFonts w:asciiTheme="minorHAnsi" w:hAnsiTheme="minorHAnsi" w:cstheme="minorHAnsi"/>
          <w:b/>
          <w:bCs/>
        </w:rPr>
        <w:t xml:space="preserve"> -tutkimuksella, ja mitä sen avulla on tutkittu?</w:t>
      </w:r>
    </w:p>
    <w:p w:rsidR="004C35C8" w:rsidRDefault="004C35C8" w:rsidP="004C35C8">
      <w:pPr>
        <w:spacing w:line="360" w:lineRule="auto"/>
        <w:rPr>
          <w:rFonts w:cstheme="minorHAnsi"/>
          <w:sz w:val="24"/>
          <w:szCs w:val="24"/>
        </w:rPr>
      </w:pPr>
    </w:p>
    <w:p w:rsidR="004C35C8" w:rsidRPr="00914F28" w:rsidRDefault="004C35C8" w:rsidP="004C35C8">
      <w:pPr>
        <w:spacing w:line="360" w:lineRule="auto"/>
        <w:rPr>
          <w:rFonts w:cstheme="minorHAnsi"/>
          <w:sz w:val="24"/>
          <w:szCs w:val="24"/>
        </w:rPr>
      </w:pPr>
      <w:r w:rsidRPr="00914F28">
        <w:rPr>
          <w:rFonts w:cstheme="minorHAnsi"/>
          <w:sz w:val="24"/>
          <w:szCs w:val="24"/>
        </w:rPr>
        <w:t xml:space="preserve">Peter </w:t>
      </w:r>
      <w:proofErr w:type="spellStart"/>
      <w:r w:rsidRPr="00914F28">
        <w:rPr>
          <w:rFonts w:cstheme="minorHAnsi"/>
          <w:sz w:val="24"/>
          <w:szCs w:val="24"/>
        </w:rPr>
        <w:t>Garrettin</w:t>
      </w:r>
      <w:proofErr w:type="spellEnd"/>
      <w:r w:rsidRPr="00914F28">
        <w:rPr>
          <w:rFonts w:cstheme="minorHAnsi"/>
          <w:sz w:val="24"/>
          <w:szCs w:val="24"/>
        </w:rPr>
        <w:t xml:space="preserve"> mukaan ns. </w:t>
      </w:r>
      <w:proofErr w:type="spellStart"/>
      <w:r w:rsidRPr="00914F28">
        <w:rPr>
          <w:rFonts w:cstheme="minorHAnsi"/>
          <w:sz w:val="24"/>
          <w:szCs w:val="24"/>
        </w:rPr>
        <w:t>matched</w:t>
      </w:r>
      <w:proofErr w:type="spellEnd"/>
      <w:r w:rsidRPr="00914F28">
        <w:rPr>
          <w:rFonts w:cstheme="minorHAnsi"/>
          <w:sz w:val="24"/>
          <w:szCs w:val="24"/>
        </w:rPr>
        <w:t xml:space="preserve"> </w:t>
      </w:r>
      <w:proofErr w:type="spellStart"/>
      <w:r w:rsidRPr="00914F28">
        <w:rPr>
          <w:rFonts w:cstheme="minorHAnsi"/>
          <w:sz w:val="24"/>
          <w:szCs w:val="24"/>
        </w:rPr>
        <w:t>guise</w:t>
      </w:r>
      <w:proofErr w:type="spellEnd"/>
      <w:r w:rsidRPr="00914F28">
        <w:rPr>
          <w:rFonts w:cstheme="minorHAnsi"/>
          <w:sz w:val="24"/>
          <w:szCs w:val="24"/>
        </w:rPr>
        <w:t xml:space="preserve"> -tutkimusta hyödynnetään silloin, kun halutaan tutkia kieliasenteita hienovaraisesti välttäen suoria kysymyksenasetteluita. Tällaisissa tutkimuksissa vastaajilla voidaan kuunteluttaa ääninauha, jossa yksi puhuja lukee samaa tekstiä useita kertoja, ja jokainen kuuntelukerta eroaa muista vain yhdessä yksityiskohdassa. Kun tutkitaan esimerkiksi alueellista tai sosiaalista aksenttivaihtelua, teksti luetaan usealla eri aksentilla mutta muuten puhe pyritään pitämään mahdollisimman muuttumattomana. Vastaajien annetaan ymmärtää, että he kuuntelevat eri puhujien näytteitä, vaikka todellisuudessa puhuja on sama henkilö. </w:t>
      </w:r>
      <w:r>
        <w:rPr>
          <w:rFonts w:cstheme="minorHAnsi"/>
          <w:sz w:val="24"/>
          <w:szCs w:val="24"/>
        </w:rPr>
        <w:t xml:space="preserve">Kun puhuja on koko ajan sama, voidaan olettaa, että </w:t>
      </w:r>
      <w:proofErr w:type="spellStart"/>
      <w:r>
        <w:rPr>
          <w:rFonts w:cstheme="minorHAnsi"/>
          <w:sz w:val="24"/>
          <w:szCs w:val="24"/>
        </w:rPr>
        <w:t>informantit</w:t>
      </w:r>
      <w:proofErr w:type="spellEnd"/>
      <w:r>
        <w:rPr>
          <w:rFonts w:cstheme="minorHAnsi"/>
          <w:sz w:val="24"/>
          <w:szCs w:val="24"/>
        </w:rPr>
        <w:t xml:space="preserve"> kommentoivat tutkittavana olevaa kielenpiirrettä, eivätkä muita seikkoja. </w:t>
      </w:r>
      <w:r w:rsidRPr="00914F28">
        <w:rPr>
          <w:rFonts w:cstheme="minorHAnsi"/>
          <w:sz w:val="24"/>
          <w:szCs w:val="24"/>
        </w:rPr>
        <w:t>Kuuntelunäytteen jälkeen vastaajat täyttävät asenteita kartoittavan asennearviointilomakkeen. Tutkittavat eivät siis ole</w:t>
      </w:r>
      <w:r>
        <w:rPr>
          <w:rFonts w:cstheme="minorHAnsi"/>
          <w:sz w:val="24"/>
          <w:szCs w:val="24"/>
        </w:rPr>
        <w:t xml:space="preserve"> tarkalleen</w:t>
      </w:r>
      <w:r w:rsidRPr="00914F28">
        <w:rPr>
          <w:rFonts w:cstheme="minorHAnsi"/>
          <w:sz w:val="24"/>
          <w:szCs w:val="24"/>
        </w:rPr>
        <w:t xml:space="preserve"> tietoisia, miten heidän asenteitaan tutkitaan. (</w:t>
      </w:r>
      <w:proofErr w:type="spellStart"/>
      <w:r w:rsidRPr="00914F28">
        <w:rPr>
          <w:rFonts w:cstheme="minorHAnsi"/>
          <w:sz w:val="24"/>
          <w:szCs w:val="24"/>
        </w:rPr>
        <w:t>Garrett</w:t>
      </w:r>
      <w:proofErr w:type="spellEnd"/>
      <w:r w:rsidRPr="00914F28">
        <w:rPr>
          <w:rFonts w:cstheme="minorHAnsi"/>
          <w:sz w:val="24"/>
          <w:szCs w:val="24"/>
        </w:rPr>
        <w:t xml:space="preserve"> 2010: 41.) </w:t>
      </w:r>
      <w:proofErr w:type="spellStart"/>
      <w:r w:rsidRPr="00914F28">
        <w:rPr>
          <w:rFonts w:cstheme="minorHAnsi"/>
          <w:sz w:val="24"/>
          <w:szCs w:val="24"/>
        </w:rPr>
        <w:t>Matched</w:t>
      </w:r>
      <w:proofErr w:type="spellEnd"/>
      <w:r w:rsidRPr="00914F28">
        <w:rPr>
          <w:rFonts w:cstheme="minorHAnsi"/>
          <w:sz w:val="24"/>
          <w:szCs w:val="24"/>
        </w:rPr>
        <w:t xml:space="preserve"> </w:t>
      </w:r>
      <w:proofErr w:type="spellStart"/>
      <w:r w:rsidRPr="00914F28">
        <w:rPr>
          <w:rFonts w:cstheme="minorHAnsi"/>
          <w:sz w:val="24"/>
          <w:szCs w:val="24"/>
        </w:rPr>
        <w:t>guise</w:t>
      </w:r>
      <w:proofErr w:type="spellEnd"/>
      <w:r w:rsidRPr="00914F28">
        <w:rPr>
          <w:rFonts w:cstheme="minorHAnsi"/>
          <w:sz w:val="24"/>
          <w:szCs w:val="24"/>
        </w:rPr>
        <w:t xml:space="preserve"> -tekniikan tavoitteena on siis tavoittaa tutkittavilta sellaisia piileviä asenteita, joita ei usein suorilla kysymyksillä saada näkyville ja tutkittua</w:t>
      </w:r>
      <w:r>
        <w:rPr>
          <w:rFonts w:cstheme="minorHAnsi"/>
          <w:sz w:val="24"/>
          <w:szCs w:val="24"/>
        </w:rPr>
        <w:t xml:space="preserve"> tai joita tutkittava ei suoraan halua ilmaista</w:t>
      </w:r>
      <w:r w:rsidRPr="00914F28">
        <w:rPr>
          <w:rFonts w:cstheme="minorHAnsi"/>
          <w:sz w:val="24"/>
          <w:szCs w:val="24"/>
        </w:rPr>
        <w:t>. Epäsuori</w:t>
      </w:r>
      <w:r>
        <w:rPr>
          <w:rFonts w:cstheme="minorHAnsi"/>
          <w:sz w:val="24"/>
          <w:szCs w:val="24"/>
        </w:rPr>
        <w:t>n</w:t>
      </w:r>
      <w:r w:rsidRPr="00914F28">
        <w:rPr>
          <w:rFonts w:cstheme="minorHAnsi"/>
          <w:sz w:val="24"/>
          <w:szCs w:val="24"/>
        </w:rPr>
        <w:t xml:space="preserve"> keinoin tutkittuja asenteita voidaan</w:t>
      </w:r>
      <w:r>
        <w:rPr>
          <w:rFonts w:cstheme="minorHAnsi"/>
          <w:sz w:val="24"/>
          <w:szCs w:val="24"/>
        </w:rPr>
        <w:t xml:space="preserve"> vertailla</w:t>
      </w:r>
      <w:r w:rsidRPr="00914F28">
        <w:rPr>
          <w:rFonts w:cstheme="minorHAnsi"/>
          <w:sz w:val="24"/>
          <w:szCs w:val="24"/>
        </w:rPr>
        <w:t xml:space="preserve"> suorilla keinoilla saatuihin tuloksiin.</w:t>
      </w:r>
    </w:p>
    <w:p w:rsidR="004C35C8" w:rsidRDefault="004C35C8" w:rsidP="004C35C8">
      <w:pPr>
        <w:spacing w:line="360" w:lineRule="auto"/>
        <w:rPr>
          <w:rFonts w:cstheme="minorHAnsi"/>
          <w:sz w:val="24"/>
          <w:szCs w:val="24"/>
        </w:rPr>
      </w:pPr>
      <w:r>
        <w:rPr>
          <w:rFonts w:cstheme="minorHAnsi"/>
          <w:sz w:val="24"/>
          <w:szCs w:val="24"/>
        </w:rPr>
        <w:t xml:space="preserve">Heidi Saaristo (2015) on soveltanut </w:t>
      </w:r>
      <w:proofErr w:type="spellStart"/>
      <w:r>
        <w:rPr>
          <w:rFonts w:cstheme="minorHAnsi"/>
          <w:sz w:val="24"/>
          <w:szCs w:val="24"/>
        </w:rPr>
        <w:t>matched</w:t>
      </w:r>
      <w:proofErr w:type="spellEnd"/>
      <w:r>
        <w:rPr>
          <w:rFonts w:cstheme="minorHAnsi"/>
          <w:sz w:val="24"/>
          <w:szCs w:val="24"/>
        </w:rPr>
        <w:t xml:space="preserve"> </w:t>
      </w:r>
      <w:proofErr w:type="spellStart"/>
      <w:r>
        <w:rPr>
          <w:rFonts w:cstheme="minorHAnsi"/>
          <w:sz w:val="24"/>
          <w:szCs w:val="24"/>
        </w:rPr>
        <w:t>guise</w:t>
      </w:r>
      <w:proofErr w:type="spellEnd"/>
      <w:r>
        <w:rPr>
          <w:rFonts w:cstheme="minorHAnsi"/>
          <w:sz w:val="24"/>
          <w:szCs w:val="24"/>
        </w:rPr>
        <w:t xml:space="preserve"> -menetelmää tutkiessaan diftongin avartumista koskevia alueellisia ja sosiaalisia mielikuvia. Tutkimuksessaan hän kuuntelutti vastaajilla ääninäytteitä, joissa sama mieshenkilö puhui varioiden diftongin eri avartumisasteita. Eri paikkakunnilta olevat vastaajat täyttivät kuuntelun jälkeen kyselylomakkeen. Toinen lomake selvitti, mihin maantieteellisen paikkaan vastaajat sijoittavat puhujan näytteen perusteella ja kuinka todennäköisenä tai epätodennäköisenä he paikkakuntaa pitivät. Toisella lomakkeella puolestaan kartoitettiin, mitä sosiaalisia indeksejä diftongin eri variantteihin mahdollisesti liittyy. Sosiaalisia mielikuvia kartoittavassa lomakkeessa oli erilaisia toistensa vastakohtia olevia adjektiivipareja, joista vastaajat valitsivat kuvaavimman adjektiivien jatkumolla. (Saaristo 2015: 15, 18–19.)</w:t>
      </w:r>
    </w:p>
    <w:p w:rsidR="004C35C8" w:rsidRDefault="004C35C8" w:rsidP="004C35C8">
      <w:pPr>
        <w:spacing w:line="360" w:lineRule="auto"/>
        <w:rPr>
          <w:rFonts w:cstheme="minorHAnsi"/>
          <w:sz w:val="24"/>
          <w:szCs w:val="24"/>
        </w:rPr>
      </w:pPr>
      <w:r>
        <w:rPr>
          <w:rFonts w:cstheme="minorHAnsi"/>
          <w:sz w:val="24"/>
          <w:szCs w:val="24"/>
        </w:rPr>
        <w:t>Saariston tutkimuksessa vastaajat paikallistivat avartuneita diftongeja sisältäneet näytteet pääosin Tampereelle, mutta tamperelaiset ja pääkaupunkiseudun vastaajat paikansivat avartumat toissijaisesti Kuopioon. Tulokset osoittivat, että mielikuvat eivät kaikilta osin vastaa todellista murteenkäyttöä. Sosiaalisia mielikuvia koskevat tulokset osoittivat, että tamperelaiset tunsivat vahvimmin solidaarisuutta näytteitä kohtaan, joissa oli heille tuttu avartunut diftongi. Avartuneemmat diftongit indeksoivat matalampaa yhteiskuntaluokkaa kuin suppeat. (Saaristo 2015: 92–95.)</w:t>
      </w:r>
    </w:p>
    <w:p w:rsidR="004C35C8" w:rsidRDefault="004C35C8" w:rsidP="004C35C8">
      <w:pPr>
        <w:spacing w:line="360" w:lineRule="auto"/>
        <w:rPr>
          <w:rFonts w:cstheme="minorHAnsi"/>
          <w:sz w:val="24"/>
          <w:szCs w:val="24"/>
        </w:rPr>
      </w:pPr>
    </w:p>
    <w:p w:rsidR="004C35C8" w:rsidRPr="00185A12" w:rsidRDefault="004C35C8" w:rsidP="004C35C8">
      <w:pPr>
        <w:spacing w:line="360" w:lineRule="auto"/>
        <w:rPr>
          <w:rFonts w:cstheme="minorHAnsi"/>
          <w:b/>
          <w:bCs/>
          <w:sz w:val="28"/>
          <w:szCs w:val="28"/>
        </w:rPr>
      </w:pPr>
      <w:r w:rsidRPr="00185A12">
        <w:rPr>
          <w:rFonts w:cstheme="minorHAnsi"/>
          <w:b/>
          <w:bCs/>
          <w:sz w:val="28"/>
          <w:szCs w:val="28"/>
        </w:rPr>
        <w:t>Lähteet</w:t>
      </w:r>
    </w:p>
    <w:p w:rsidR="004C35C8" w:rsidRPr="00A10590" w:rsidRDefault="004C35C8" w:rsidP="004C35C8">
      <w:pPr>
        <w:spacing w:after="0" w:line="240" w:lineRule="auto"/>
        <w:ind w:left="1304" w:hanging="1304"/>
        <w:rPr>
          <w:rFonts w:cstheme="minorHAnsi"/>
          <w:sz w:val="24"/>
          <w:szCs w:val="24"/>
          <w:lang w:val="en-US"/>
        </w:rPr>
      </w:pPr>
      <w:proofErr w:type="spellStart"/>
      <w:r w:rsidRPr="00802503">
        <w:rPr>
          <w:rFonts w:cstheme="minorHAnsi"/>
          <w:sz w:val="24"/>
          <w:szCs w:val="24"/>
        </w:rPr>
        <w:t>Garrett</w:t>
      </w:r>
      <w:proofErr w:type="spellEnd"/>
      <w:r w:rsidRPr="00802503">
        <w:rPr>
          <w:rFonts w:cstheme="minorHAnsi"/>
          <w:sz w:val="24"/>
          <w:szCs w:val="24"/>
        </w:rPr>
        <w:t xml:space="preserve">, Peter 2010: </w:t>
      </w:r>
      <w:proofErr w:type="spellStart"/>
      <w:r w:rsidRPr="00802503">
        <w:rPr>
          <w:rFonts w:cstheme="minorHAnsi"/>
          <w:i/>
          <w:iCs/>
          <w:sz w:val="24"/>
          <w:szCs w:val="24"/>
        </w:rPr>
        <w:t>Attitudes</w:t>
      </w:r>
      <w:proofErr w:type="spellEnd"/>
      <w:r w:rsidRPr="00802503">
        <w:rPr>
          <w:rFonts w:cstheme="minorHAnsi"/>
          <w:i/>
          <w:iCs/>
          <w:sz w:val="24"/>
          <w:szCs w:val="24"/>
        </w:rPr>
        <w:t xml:space="preserve"> to </w:t>
      </w:r>
      <w:proofErr w:type="spellStart"/>
      <w:r w:rsidRPr="00802503">
        <w:rPr>
          <w:rFonts w:cstheme="minorHAnsi"/>
          <w:i/>
          <w:iCs/>
          <w:sz w:val="24"/>
          <w:szCs w:val="24"/>
        </w:rPr>
        <w:t>language</w:t>
      </w:r>
      <w:proofErr w:type="spellEnd"/>
      <w:r w:rsidRPr="00802503">
        <w:rPr>
          <w:rFonts w:cstheme="minorHAnsi"/>
          <w:i/>
          <w:iCs/>
          <w:sz w:val="24"/>
          <w:szCs w:val="24"/>
        </w:rPr>
        <w:t xml:space="preserve">. </w:t>
      </w:r>
      <w:r w:rsidRPr="00A10590">
        <w:rPr>
          <w:rFonts w:cstheme="minorHAnsi"/>
          <w:i/>
          <w:iCs/>
          <w:sz w:val="24"/>
          <w:szCs w:val="24"/>
          <w:lang w:val="en-US"/>
        </w:rPr>
        <w:t>Key topics in sociolinguistics</w:t>
      </w:r>
      <w:r w:rsidRPr="00A10590">
        <w:rPr>
          <w:rFonts w:cstheme="minorHAnsi"/>
          <w:sz w:val="24"/>
          <w:szCs w:val="24"/>
          <w:lang w:val="en-US"/>
        </w:rPr>
        <w:t>. New York: Cambridge University Press.</w:t>
      </w:r>
    </w:p>
    <w:p w:rsidR="004C35C8" w:rsidRPr="00914F28" w:rsidRDefault="004C35C8" w:rsidP="004C35C8">
      <w:pPr>
        <w:spacing w:after="0" w:line="240" w:lineRule="auto"/>
        <w:ind w:left="1304" w:hanging="1304"/>
        <w:rPr>
          <w:rFonts w:cstheme="minorHAnsi"/>
          <w:sz w:val="24"/>
          <w:szCs w:val="24"/>
        </w:rPr>
      </w:pPr>
      <w:r>
        <w:rPr>
          <w:rFonts w:cstheme="minorHAnsi"/>
          <w:sz w:val="24"/>
          <w:szCs w:val="24"/>
        </w:rPr>
        <w:t xml:space="preserve">Saaristo, Heidi 2015: </w:t>
      </w:r>
      <w:r w:rsidRPr="00A10590">
        <w:rPr>
          <w:rFonts w:cstheme="minorHAnsi"/>
          <w:i/>
          <w:iCs/>
          <w:sz w:val="24"/>
          <w:szCs w:val="24"/>
        </w:rPr>
        <w:t>Mitä diftongien avartumisesta ajatellaan? Kielenkäyttäjien mielikuvia.</w:t>
      </w:r>
      <w:r>
        <w:rPr>
          <w:rFonts w:cstheme="minorHAnsi"/>
          <w:sz w:val="24"/>
          <w:szCs w:val="24"/>
        </w:rPr>
        <w:t xml:space="preserve"> Suomen kielen pro gradu -tutkielma. Helsinki: Helsingin yliopisto.</w:t>
      </w:r>
    </w:p>
    <w:p w:rsidR="004C35C8" w:rsidRPr="00914F28" w:rsidRDefault="004C35C8" w:rsidP="004C35C8">
      <w:pPr>
        <w:spacing w:line="360" w:lineRule="auto"/>
        <w:rPr>
          <w:rFonts w:cstheme="minorHAnsi"/>
          <w:sz w:val="24"/>
          <w:szCs w:val="24"/>
        </w:rPr>
      </w:pPr>
    </w:p>
    <w:p w:rsidR="00FC6BFF" w:rsidRDefault="00FC6BFF">
      <w:bookmarkStart w:id="0" w:name="_GoBack"/>
      <w:bookmarkEnd w:id="0"/>
    </w:p>
    <w:sectPr w:rsidR="00FC6B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861"/>
    <w:multiLevelType w:val="hybridMultilevel"/>
    <w:tmpl w:val="9FFAA0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26"/>
    <w:rsid w:val="004C35C8"/>
    <w:rsid w:val="00CA5526"/>
    <w:rsid w:val="00FC6B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E30A0-09B4-4B29-83E8-16851BC8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C35C8"/>
    <w:rPr>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C35C8"/>
    <w:pPr>
      <w:spacing w:after="0" w:line="240" w:lineRule="auto"/>
      <w:ind w:left="720"/>
      <w:contextualSpacing/>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4933</Characters>
  <Application>Microsoft Office Word</Application>
  <DocSecurity>0</DocSecurity>
  <Lines>41</Lines>
  <Paragraphs>11</Paragraphs>
  <ScaleCrop>false</ScaleCrop>
  <Company>Hewlett-Packard Company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Isopahkala</dc:creator>
  <cp:keywords/>
  <dc:description/>
  <cp:lastModifiedBy>Maiju Isopahkala</cp:lastModifiedBy>
  <cp:revision>2</cp:revision>
  <dcterms:created xsi:type="dcterms:W3CDTF">2025-04-08T07:49:00Z</dcterms:created>
  <dcterms:modified xsi:type="dcterms:W3CDTF">2025-04-08T07:49:00Z</dcterms:modified>
</cp:coreProperties>
</file>